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FB72" w14:textId="77777777" w:rsidR="005E4B08" w:rsidRPr="009C4472" w:rsidRDefault="005E4B08" w:rsidP="005E4B08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66570992" w14:textId="01CE5039" w:rsidR="005E4B08" w:rsidRPr="00622E0B" w:rsidRDefault="005E4B08" w:rsidP="005E4B08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17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4B0038">
        <w:rPr>
          <w:rFonts w:ascii="Calibri" w:eastAsia="Calibri" w:hAnsi="Calibri" w:cs="Times New Roman"/>
          <w:b/>
          <w:sz w:val="32"/>
          <w:u w:val="single"/>
        </w:rPr>
        <w:t xml:space="preserve">THE </w:t>
      </w:r>
      <w:r>
        <w:rPr>
          <w:rFonts w:ascii="Calibri" w:eastAsia="Calibri" w:hAnsi="Calibri" w:cs="Times New Roman"/>
          <w:b/>
          <w:sz w:val="32"/>
          <w:u w:val="single"/>
        </w:rPr>
        <w:t xml:space="preserve">RECENT </w:t>
      </w:r>
      <w:r w:rsidRPr="004B0038">
        <w:rPr>
          <w:rFonts w:ascii="Calibri" w:eastAsia="Calibri" w:hAnsi="Calibri" w:cs="Times New Roman"/>
          <w:b/>
          <w:sz w:val="32"/>
          <w:u w:val="single"/>
        </w:rPr>
        <w:t xml:space="preserve">TESTIMONY OF </w:t>
      </w:r>
      <w:r>
        <w:rPr>
          <w:rFonts w:ascii="Calibri" w:eastAsia="Calibri" w:hAnsi="Calibri" w:cs="Times New Roman"/>
          <w:b/>
          <w:sz w:val="32"/>
          <w:u w:val="single"/>
        </w:rPr>
        <w:t>ARCHAEOLOGY</w:t>
      </w:r>
      <w:r w:rsidRPr="004B0038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T</w:t>
      </w:r>
      <w:r w:rsidRPr="004B0038">
        <w:rPr>
          <w:rFonts w:ascii="Calibri" w:eastAsia="Calibri" w:hAnsi="Calibri" w:cs="Times New Roman"/>
          <w:b/>
          <w:sz w:val="32"/>
          <w:u w:val="single"/>
        </w:rPr>
        <w:t>O THE SCRIPTURES</w:t>
      </w:r>
    </w:p>
    <w:p w14:paraId="341718FB" w14:textId="77777777" w:rsidR="005E4B08" w:rsidRDefault="005E4B08" w:rsidP="005E4B0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F74C67" w14:textId="1E93ED0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KYLE,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260A4">
        <w:rPr>
          <w:rFonts w:asciiTheme="minorHAnsi" w:hAnsiTheme="minorHAnsi" w:cs="Courier New"/>
          <w:sz w:val="22"/>
          <w:szCs w:val="22"/>
        </w:rPr>
        <w:t xml:space="preserve">D.D. 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D., EGYPTOLOGIST. PROFESSOR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XENIA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 SEMINARY. CONSULTING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EDITOR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WASHINGTON, D.C. </w:t>
      </w:r>
    </w:p>
    <w:p w14:paraId="1BA3A99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AFC7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parentheses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notes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article.) </w:t>
      </w:r>
    </w:p>
    <w:p w14:paraId="000133D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4FEA2" w14:textId="77777777" w:rsidR="002C3376" w:rsidRPr="005E4B08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E4B08">
        <w:rPr>
          <w:rFonts w:asciiTheme="minorHAnsi" w:hAnsiTheme="minorHAnsi" w:cs="Courier New"/>
          <w:b/>
          <w:bCs/>
          <w:sz w:val="22"/>
          <w:szCs w:val="22"/>
        </w:rPr>
        <w:t xml:space="preserve">INTRODUCTION. </w:t>
      </w:r>
    </w:p>
    <w:p w14:paraId="7FFC77F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D961A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"Recent"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dangerously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archaeologist.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Pentecost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"recent"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 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meaning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"recent." </w:t>
      </w:r>
    </w:p>
    <w:p w14:paraId="4CB93EC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84CEA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discoveries.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emergence,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discovery. </w:t>
      </w:r>
    </w:p>
    <w:p w14:paraId="2244B14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F8242D" w14:textId="1F93236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4050B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classification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1C08DF0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087A0" w14:textId="77777777" w:rsidR="002C3376" w:rsidRPr="004050B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050BE">
        <w:rPr>
          <w:rFonts w:asciiTheme="minorHAnsi" w:hAnsiTheme="minorHAnsi" w:cs="Courier New"/>
          <w:b/>
          <w:bCs/>
          <w:sz w:val="22"/>
          <w:szCs w:val="22"/>
        </w:rPr>
        <w:t>I.</w:t>
      </w:r>
      <w:r w:rsidR="00634383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>HISTORICAL</w:t>
      </w:r>
      <w:r w:rsidR="00737290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>SETTING</w:t>
      </w:r>
      <w:r w:rsidR="00737290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>PATRIARCHAL</w:t>
      </w:r>
      <w:r w:rsidR="00737290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>RECEPTION</w:t>
      </w:r>
      <w:r w:rsidR="00634383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634383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 xml:space="preserve">EGYPT. </w:t>
      </w:r>
    </w:p>
    <w:p w14:paraId="67DA1A8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1DA5D1" w14:textId="2FE9003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Jacob 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4050B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elevation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4050B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2)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peremptorily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 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 therefor.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insignificant,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citizens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accorded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unfriendly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court. 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stories</w:t>
      </w:r>
      <w:r w:rsidR="004050B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4050B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appropriate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insignificant,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private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citizens,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Zoan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foreign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unfriendly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court. </w:t>
      </w:r>
    </w:p>
    <w:p w14:paraId="3787101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6F131A" w14:textId="71B68EC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Hyksos</w:t>
      </w:r>
      <w:r w:rsidR="004050BE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territory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4050B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patriarchal 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Phoenicians,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Hebrews,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Egyptians</w:t>
      </w:r>
      <w:r w:rsidR="004050B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5</w:t>
      </w:r>
      <w:r w:rsidR="004050B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English,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French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business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Chinese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familiarity,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sympathy,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Hyksos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4050BE">
        <w:rPr>
          <w:rFonts w:asciiTheme="minorHAnsi" w:hAnsiTheme="minorHAnsi" w:cs="Courier New"/>
          <w:sz w:val="22"/>
          <w:szCs w:val="22"/>
        </w:rPr>
        <w:t xml:space="preserve"> (6)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1906</w:t>
      </w:r>
      <w:r w:rsidR="004050B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(7</w:t>
      </w:r>
      <w:r w:rsidR="004050B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fortified camp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Yehudiyeh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 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Hyksos.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Hyksos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scarabs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Hyksos camp</w:t>
      </w:r>
      <w:r w:rsidR="004050B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8</w:t>
      </w:r>
      <w:r w:rsidR="004050BE">
        <w:rPr>
          <w:rFonts w:asciiTheme="minorHAnsi" w:hAnsiTheme="minorHAnsi" w:cs="Courier New"/>
          <w:sz w:val="22"/>
          <w:szCs w:val="22"/>
        </w:rPr>
        <w:t>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fortifications,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Hyksos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builders'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craft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Egyptians, 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defense</w:t>
      </w:r>
      <w:proofErr w:type="spellEnd"/>
      <w:r w:rsidR="004050B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9</w:t>
      </w:r>
      <w:r w:rsidR="004050BE">
        <w:rPr>
          <w:rFonts w:asciiTheme="minorHAnsi" w:hAnsiTheme="minorHAnsi" w:cs="Courier New"/>
          <w:sz w:val="22"/>
          <w:szCs w:val="22"/>
        </w:rPr>
        <w:t>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Hyksos,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Haq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Shashu</w:t>
      </w:r>
      <w:proofErr w:type="spellEnd"/>
      <w:r w:rsidR="004050B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10</w:t>
      </w:r>
      <w:r w:rsidR="004050B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 xml:space="preserve"> "Bedouin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harmonious 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glimpses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Hyksos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wandering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"Upper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Ruthen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"</w:t>
      </w:r>
      <w:r w:rsidR="004050BE">
        <w:rPr>
          <w:rFonts w:asciiTheme="minorHAnsi" w:hAnsiTheme="minorHAnsi" w:cs="Courier New"/>
          <w:sz w:val="22"/>
          <w:szCs w:val="22"/>
        </w:rPr>
        <w:t xml:space="preserve"> (11)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i.e.,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western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Arabia,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people"</w:t>
      </w:r>
      <w:r w:rsidR="004050B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12</w:t>
      </w:r>
      <w:r w:rsidR="004050B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 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enemies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pyramid times</w:t>
      </w:r>
      <w:r w:rsidR="004050B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13</w:t>
      </w:r>
      <w:r w:rsidR="004050B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 xml:space="preserve">. </w:t>
      </w:r>
    </w:p>
    <w:p w14:paraId="44FD6D5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98145" w14:textId="5ED08AA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Why,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royal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reception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wandering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'"Upper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Ruthen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Haq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Shashu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"Bedouin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princes"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 princes,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principality.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Bedouin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Bedouin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Bedouin slave,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Bedouin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Jacob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followers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wealth,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acquisition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 party,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rebellious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native Egyptians.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Hyksos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relationship.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suspicion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disappears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historical setting. </w:t>
      </w:r>
    </w:p>
    <w:p w14:paraId="6510713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112030" w14:textId="77777777" w:rsidR="002C3376" w:rsidRPr="004050B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050BE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634383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>HITTITE</w:t>
      </w:r>
      <w:r w:rsidR="00737290" w:rsidRPr="004050B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50BE">
        <w:rPr>
          <w:rFonts w:asciiTheme="minorHAnsi" w:hAnsiTheme="minorHAnsi" w:cs="Courier New"/>
          <w:b/>
          <w:bCs/>
          <w:sz w:val="22"/>
          <w:szCs w:val="22"/>
        </w:rPr>
        <w:t xml:space="preserve">VINDICATION. </w:t>
      </w:r>
    </w:p>
    <w:p w14:paraId="4C38B1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0CAF7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respect,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Trojans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inhabitants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Schliemann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vindicate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Winckler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. </w:t>
      </w:r>
    </w:p>
    <w:p w14:paraId="793AF08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48D38" w14:textId="60BEAD5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1904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Europe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Hittites,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'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Kheta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archaeologist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Boghatz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-K</w:t>
      </w:r>
      <w:r w:rsidR="004050BE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 vindication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Hittites. </w:t>
      </w:r>
    </w:p>
    <w:p w14:paraId="65E3AF9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484FB" w14:textId="2C5542B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preliminary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Winckler's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treasury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Boghatz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-K</w:t>
      </w:r>
      <w:r w:rsidR="004050BE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been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made(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14).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long-eclipsed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national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awaited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impatiently.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half-mythical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fancied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stimulus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08CC35E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5E56CA" w14:textId="242742C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4050B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15</w:t>
      </w:r>
      <w:r w:rsidR="004050BE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Asia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dependencies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round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 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foreshadowed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Rameses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</w:t>
      </w:r>
      <w:r w:rsidR="004050BE">
        <w:rPr>
          <w:rFonts w:asciiTheme="minorHAnsi" w:hAnsiTheme="minorHAnsi" w:cs="Courier New"/>
          <w:sz w:val="22"/>
          <w:szCs w:val="22"/>
        </w:rPr>
        <w:t>.</w:t>
      </w:r>
      <w:r w:rsidRPr="00F55589">
        <w:rPr>
          <w:rFonts w:asciiTheme="minorHAnsi" w:hAnsiTheme="minorHAnsi" w:cs="Courier New"/>
          <w:sz w:val="22"/>
          <w:szCs w:val="22"/>
        </w:rPr>
        <w:t>, inscribed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projecting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Karnak</w:t>
      </w:r>
      <w:r w:rsidR="004050B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(16),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Rameses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village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Boghatz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-K</w:t>
      </w:r>
      <w:r w:rsidR="004050BE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i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 (17),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cuneiform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recovered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tongue</w:t>
      </w:r>
      <w:r w:rsidR="004050B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18</w:t>
      </w:r>
      <w:r w:rsidR="004050B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cuneiform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Amarna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B3454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19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diplomatic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diplomatic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B3454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20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admixture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inscriptions opens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decipherment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B3454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21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decipherment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Bible. </w:t>
      </w:r>
    </w:p>
    <w:p w14:paraId="0E76D43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3479C5" w14:textId="3685A7D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cuneiform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hieroglyphic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</w:t>
      </w:r>
      <w:r w:rsidR="00B3454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22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.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hieroglyphic inscriptions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language,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"Hieratic,"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improbable.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Hittite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delayed. </w:t>
      </w:r>
    </w:p>
    <w:p w14:paraId="480F3B7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176BF8" w14:textId="77777777" w:rsidR="002C3376" w:rsidRPr="00B3454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3454E">
        <w:rPr>
          <w:rFonts w:asciiTheme="minorHAnsi" w:hAnsiTheme="minorHAnsi" w:cs="Courier New"/>
          <w:b/>
          <w:bCs/>
          <w:sz w:val="22"/>
          <w:szCs w:val="22"/>
        </w:rPr>
        <w:lastRenderedPageBreak/>
        <w:t>III.</w:t>
      </w:r>
      <w:r w:rsidR="00634383" w:rsidRPr="00B345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3454E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B345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3454E">
        <w:rPr>
          <w:rFonts w:asciiTheme="minorHAnsi" w:hAnsiTheme="minorHAnsi" w:cs="Courier New"/>
          <w:b/>
          <w:bCs/>
          <w:sz w:val="22"/>
          <w:szCs w:val="22"/>
        </w:rPr>
        <w:t>PALESTINIAN</w:t>
      </w:r>
      <w:r w:rsidR="00737290" w:rsidRPr="00B345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3454E">
        <w:rPr>
          <w:rFonts w:asciiTheme="minorHAnsi" w:hAnsiTheme="minorHAnsi" w:cs="Courier New"/>
          <w:b/>
          <w:bCs/>
          <w:sz w:val="22"/>
          <w:szCs w:val="22"/>
        </w:rPr>
        <w:t xml:space="preserve">CIVILIZATION. </w:t>
      </w:r>
    </w:p>
    <w:p w14:paraId="27ACDE5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5F2F7" w14:textId="029DB1F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Palestinian explorations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yielded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startling array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"finds"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 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harmony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B3454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23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incomparably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 antiquity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 questions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7B1D56A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6E0E6" w14:textId="2393709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3454E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 somewhere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dilettante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B3454E" w:rsidRPr="00F55589">
        <w:rPr>
          <w:rFonts w:asciiTheme="minorHAnsi" w:hAnsiTheme="minorHAnsi" w:cs="Courier New"/>
          <w:sz w:val="22"/>
          <w:szCs w:val="22"/>
        </w:rPr>
        <w:t>traveller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microscopic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middle 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</w:t>
      </w:r>
      <w:r w:rsidR="00B3454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Bliss</w:t>
      </w:r>
      <w:r w:rsidR="00B3454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(25),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</w:t>
      </w:r>
      <w:r w:rsidR="00B3454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26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Schumacker</w:t>
      </w:r>
      <w:proofErr w:type="spellEnd"/>
      <w:r w:rsidR="00B3454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27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Sellin</w:t>
      </w:r>
      <w:proofErr w:type="spellEnd"/>
      <w:r w:rsidR="00B3454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(28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stand.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Gezer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first. </w:t>
      </w:r>
    </w:p>
    <w:p w14:paraId="172F813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3E9200" w14:textId="77777777" w:rsidR="002C3376" w:rsidRPr="00B3454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3454E">
        <w:rPr>
          <w:rFonts w:asciiTheme="minorHAnsi" w:hAnsiTheme="minorHAnsi" w:cs="Courier New"/>
          <w:b/>
          <w:bCs/>
          <w:sz w:val="22"/>
          <w:szCs w:val="22"/>
        </w:rPr>
        <w:t>HISTORICAL</w:t>
      </w:r>
      <w:r w:rsidR="00737290" w:rsidRPr="00B345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3454E">
        <w:rPr>
          <w:rFonts w:asciiTheme="minorHAnsi" w:hAnsiTheme="minorHAnsi" w:cs="Courier New"/>
          <w:b/>
          <w:bCs/>
          <w:sz w:val="22"/>
          <w:szCs w:val="22"/>
        </w:rPr>
        <w:t>VALUE</w:t>
      </w:r>
      <w:r w:rsidR="00737290" w:rsidRPr="00B345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3454E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B345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3454E">
        <w:rPr>
          <w:rFonts w:asciiTheme="minorHAnsi" w:hAnsiTheme="minorHAnsi" w:cs="Courier New"/>
          <w:b/>
          <w:bCs/>
          <w:sz w:val="22"/>
          <w:szCs w:val="22"/>
        </w:rPr>
        <w:t xml:space="preserve">POTTERY. </w:t>
      </w:r>
    </w:p>
    <w:p w14:paraId="4E0FC1D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5559C" w14:textId="6A53A84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chronological 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exclusively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pottery.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undervalued,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overvalued.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dissimilarity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pottery.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 stages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 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widely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pottery,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deduction.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 available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pottery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thousand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deciding criterion,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criterion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location, intertribal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literary attainments. </w:t>
      </w:r>
    </w:p>
    <w:p w14:paraId="22D0069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2458C" w14:textId="74AFE4A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determine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determine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Israelites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vineyards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orchards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"houses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things"</w:t>
      </w:r>
      <w:r w:rsidR="00B3454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(29),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pottery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cooking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Canaan"</w:t>
      </w:r>
      <w:r w:rsidR="00B3454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(30),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intermarried,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B3454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(31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lapses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idolatry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superstitious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Canaanites</w:t>
      </w:r>
      <w:r w:rsidR="00B3454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(32),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devastation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demolition,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spoliation,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reconstruction. 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interruption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show. </w:t>
      </w:r>
    </w:p>
    <w:p w14:paraId="4053AA0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F2D9B5" w14:textId="77777777" w:rsidR="002C3376" w:rsidRPr="00B3454E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3454E">
        <w:rPr>
          <w:rFonts w:asciiTheme="minorHAnsi" w:hAnsiTheme="minorHAnsi" w:cs="Courier New"/>
          <w:b/>
          <w:bCs/>
          <w:sz w:val="22"/>
          <w:szCs w:val="22"/>
        </w:rPr>
        <w:t>RELIGION</w:t>
      </w:r>
      <w:r w:rsidR="00634383" w:rsidRPr="00B345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3454E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634383" w:rsidRPr="00B345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3454E">
        <w:rPr>
          <w:rFonts w:asciiTheme="minorHAnsi" w:hAnsiTheme="minorHAnsi" w:cs="Courier New"/>
          <w:b/>
          <w:bCs/>
          <w:sz w:val="22"/>
          <w:szCs w:val="22"/>
        </w:rPr>
        <w:t xml:space="preserve">CULTURE. </w:t>
      </w:r>
    </w:p>
    <w:p w14:paraId="0433F38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6EA65" w14:textId="1DF06DA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3454E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B3454E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rubbish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Gezer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layers,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groups</w:t>
      </w:r>
      <w:r w:rsidR="00B3454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33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bottom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layers Semitic,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layers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times. </w:t>
      </w:r>
    </w:p>
    <w:p w14:paraId="7C1CFC3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58A65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366FA7" w14:textId="66D8959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3454E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B3454E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tunnel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fortifications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Gezer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rubbish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 (3</w:t>
      </w:r>
      <w:r w:rsidR="00B3454E">
        <w:rPr>
          <w:rFonts w:asciiTheme="minorHAnsi" w:hAnsiTheme="minorHAnsi" w:cs="Courier New"/>
          <w:sz w:val="22"/>
          <w:szCs w:val="22"/>
        </w:rPr>
        <w:t>4).</w:t>
      </w:r>
      <w:r w:rsidRPr="00F55589">
        <w:rPr>
          <w:rFonts w:asciiTheme="minorHAnsi" w:hAnsiTheme="minorHAnsi" w:cs="Courier New"/>
          <w:sz w:val="22"/>
          <w:szCs w:val="22"/>
        </w:rPr>
        <w:t xml:space="preserve">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represents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destroyed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water-supply, 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interruption,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tunnel,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engineering feat,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disturbance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forgotten</w:t>
      </w:r>
      <w:r w:rsidR="00B3454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(35). </w:t>
      </w:r>
    </w:p>
    <w:p w14:paraId="31D51A1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63FCB" w14:textId="2ADB29A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3454E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B3454E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B3454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enlargement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populated area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Gezer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encroaching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 area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</w:t>
      </w:r>
      <w:r w:rsidR="00B3454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36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crowding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corresponding decline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inclosure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Place. While,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Monarchy</w:t>
      </w:r>
      <w:r w:rsidR="00B3454E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37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sudden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area corresponding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wife</w:t>
      </w:r>
      <w:r w:rsidR="00B3454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(38). </w:t>
      </w:r>
    </w:p>
    <w:p w14:paraId="64C2FA3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AA3EC3" w14:textId="50D4487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3454E">
        <w:rPr>
          <w:rFonts w:asciiTheme="minorHAnsi" w:hAnsiTheme="minorHAnsi" w:cs="Courier New"/>
          <w:b/>
          <w:bCs/>
          <w:sz w:val="22"/>
          <w:szCs w:val="22"/>
        </w:rPr>
        <w:t>(d)</w:t>
      </w:r>
      <w:r w:rsidR="00B3454E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Musri 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Arabia,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B3454E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(39</w:t>
      </w:r>
      <w:r w:rsidR="00B3454E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therefrom,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Gezer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marriage dower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married</w:t>
      </w:r>
      <w:r w:rsidR="007E3764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40</w:t>
      </w:r>
      <w:r w:rsidR="007E3764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portion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 Musri,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Gezer,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 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 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abundance (41). </w:t>
      </w:r>
    </w:p>
    <w:p w14:paraId="63488DA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9B24B" w14:textId="7F31A67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3454E">
        <w:rPr>
          <w:rFonts w:asciiTheme="minorHAnsi" w:hAnsiTheme="minorHAnsi" w:cs="Courier New"/>
          <w:b/>
          <w:bCs/>
          <w:sz w:val="22"/>
          <w:szCs w:val="22"/>
        </w:rPr>
        <w:t>(e)</w:t>
      </w:r>
      <w:r w:rsidR="00B3454E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refinement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luxuries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incongruous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rock-hewn,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rock-built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cisterns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Taannek</w:t>
      </w:r>
      <w:proofErr w:type="spellEnd"/>
      <w:r w:rsidR="007E3764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(42),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engineering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tunnel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Gezert</w:t>
      </w:r>
      <w:proofErr w:type="spellEnd"/>
      <w:r w:rsidR="007E3764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43),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forty-foot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 war</w:t>
      </w:r>
      <w:r w:rsidR="007E3764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(44),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richest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Thothmes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III.</w:t>
      </w:r>
      <w:r w:rsidR="007E3764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(45),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ceramic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bronze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utensils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weapons recovered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</w:t>
      </w:r>
      <w:r w:rsidR="007E3764">
        <w:rPr>
          <w:rFonts w:asciiTheme="minorHAnsi" w:hAnsiTheme="minorHAnsi" w:cs="Courier New"/>
          <w:sz w:val="22"/>
          <w:szCs w:val="22"/>
        </w:rPr>
        <w:t xml:space="preserve"> (46)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Amarna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</w:t>
      </w:r>
      <w:r w:rsidR="007E3764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47</w:t>
      </w:r>
      <w:r w:rsidR="007E3764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scriptural 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Hammurabi,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E3764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(48)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 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Egypt. </w:t>
      </w:r>
    </w:p>
    <w:p w14:paraId="6323D9C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9A429" w14:textId="2ECB0E0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3454E">
        <w:rPr>
          <w:rFonts w:asciiTheme="minorHAnsi" w:hAnsiTheme="minorHAnsi" w:cs="Courier New"/>
          <w:b/>
          <w:bCs/>
          <w:sz w:val="22"/>
          <w:szCs w:val="22"/>
        </w:rPr>
        <w:t>(f)</w:t>
      </w:r>
      <w:r w:rsidR="00B3454E" w:rsidRPr="00B3454E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glimpses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 agree.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Gezer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Taannek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first-born,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grown, 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ghastliness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Gezer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"practically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hill"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Taannek</w:t>
      </w:r>
      <w:proofErr w:type="spellEnd"/>
      <w:r w:rsidR="007E3764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(49). </w:t>
      </w:r>
    </w:p>
    <w:p w14:paraId="71315B2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00EFA" w14:textId="610C400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E3764">
        <w:rPr>
          <w:rFonts w:asciiTheme="minorHAnsi" w:hAnsiTheme="minorHAnsi" w:cs="Courier New"/>
          <w:b/>
          <w:bCs/>
          <w:sz w:val="22"/>
          <w:szCs w:val="22"/>
        </w:rPr>
        <w:t>(g)</w:t>
      </w:r>
      <w:r w:rsidR="00B3454E" w:rsidRPr="007E3764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 monotheism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horrible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idolatrous polytheism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overthrow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ultimate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triumph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Gezer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 decline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bowl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lamp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deposit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Samuel.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territory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Newfoundland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life-giving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Gulf Stream.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made.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overwhelming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it. </w:t>
      </w:r>
    </w:p>
    <w:p w14:paraId="10C9D9E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1B588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E3764">
        <w:rPr>
          <w:rFonts w:asciiTheme="minorHAnsi" w:hAnsiTheme="minorHAnsi" w:cs="Courier New"/>
          <w:b/>
          <w:bCs/>
          <w:sz w:val="22"/>
          <w:szCs w:val="22"/>
        </w:rPr>
        <w:lastRenderedPageBreak/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 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dominant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millennium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millennium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outward?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luminary? </w:t>
      </w:r>
    </w:p>
    <w:p w14:paraId="584754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1EEB83" w14:textId="77777777" w:rsidR="002C3376" w:rsidRPr="007E376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3764">
        <w:rPr>
          <w:rFonts w:asciiTheme="minorHAnsi" w:hAnsiTheme="minorHAnsi" w:cs="Courier New"/>
          <w:b/>
          <w:bCs/>
          <w:sz w:val="22"/>
          <w:szCs w:val="22"/>
        </w:rPr>
        <w:t>PALESTINE</w:t>
      </w:r>
      <w:r w:rsidR="00737290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 xml:space="preserve">BABYLONIA. </w:t>
      </w:r>
    </w:p>
    <w:p w14:paraId="0A9BFB0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3DBF3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 forced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excavations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interrogation 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patriarchal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principles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Israel's 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inferior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defense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archaeology. </w:t>
      </w:r>
    </w:p>
    <w:p w14:paraId="12CE9EF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DE0E93" w14:textId="6EA5967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cuneiform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day, Albert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</w:t>
      </w:r>
      <w:r w:rsidR="007E3764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(50),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E3764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acquired material.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reverse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importation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Syria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Amurru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 deluge,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ante-diluvian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 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Amurru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scholars." </w:t>
      </w:r>
    </w:p>
    <w:p w14:paraId="183E658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7CB64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consequences. Clay's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initial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advantage,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apparent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point. </w:t>
      </w:r>
    </w:p>
    <w:p w14:paraId="2AFA284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A414C" w14:textId="77777777" w:rsidR="002C3376" w:rsidRPr="007E376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3764">
        <w:rPr>
          <w:rFonts w:asciiTheme="minorHAnsi" w:hAnsiTheme="minorHAnsi" w:cs="Courier New"/>
          <w:b/>
          <w:bCs/>
          <w:sz w:val="22"/>
          <w:szCs w:val="22"/>
        </w:rPr>
        <w:t>IV.</w:t>
      </w:r>
      <w:r w:rsidR="00634383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>PALESTINE</w:t>
      </w:r>
      <w:r w:rsidR="00634383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634383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 xml:space="preserve">EGYPT. </w:t>
      </w:r>
    </w:p>
    <w:p w14:paraId="0020B2D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7E99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Testament criticism. </w:t>
      </w:r>
    </w:p>
    <w:p w14:paraId="5AFD105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8E566" w14:textId="5D779E4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E3764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</w:t>
      </w:r>
      <w:r w:rsidR="007E3764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51</w:t>
      </w:r>
      <w:r w:rsidR="007E3764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British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Museum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dynasties helps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Hammurabi,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Abraham's 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corrective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far-reaching 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chronological 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vital. </w:t>
      </w:r>
    </w:p>
    <w:p w14:paraId="5657A08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7565F3" w14:textId="77777777" w:rsidR="002C3376" w:rsidRPr="007E376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3764">
        <w:rPr>
          <w:rFonts w:asciiTheme="minorHAnsi" w:hAnsiTheme="minorHAnsi" w:cs="Courier New"/>
          <w:b/>
          <w:bCs/>
          <w:sz w:val="22"/>
          <w:szCs w:val="22"/>
        </w:rPr>
        <w:t>SACRIFICE</w:t>
      </w:r>
      <w:r w:rsidR="00634383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634383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 xml:space="preserve">EGYPT. </w:t>
      </w:r>
    </w:p>
    <w:p w14:paraId="251560A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50AB2" w14:textId="2AB2CC3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E3764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 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sacrifice, substitution,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atonement,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dedication,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offering scenes</w:t>
      </w:r>
      <w:r w:rsidR="007E3764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52</w:t>
      </w:r>
      <w:r w:rsidR="007E3764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 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delimiting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she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give. </w:t>
      </w:r>
    </w:p>
    <w:p w14:paraId="78BF8C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082C66" w14:textId="77777777" w:rsidR="002C3376" w:rsidRPr="007E3764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3764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>FUTURE</w:t>
      </w:r>
      <w:r w:rsidR="00737290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>LIFE</w:t>
      </w:r>
      <w:r w:rsidR="00737290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737290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7E376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E3764">
        <w:rPr>
          <w:rFonts w:asciiTheme="minorHAnsi" w:hAnsiTheme="minorHAnsi" w:cs="Courier New"/>
          <w:b/>
          <w:bCs/>
          <w:sz w:val="22"/>
          <w:szCs w:val="22"/>
        </w:rPr>
        <w:t xml:space="preserve">PENTATEUCH. </w:t>
      </w:r>
    </w:p>
    <w:p w14:paraId="0EFBA16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CE18A9" w14:textId="02635C1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E3764">
        <w:rPr>
          <w:rFonts w:asciiTheme="minorHAnsi" w:hAnsiTheme="minorHAnsi" w:cs="Courier New"/>
          <w:b/>
          <w:bCs/>
          <w:sz w:val="22"/>
          <w:szCs w:val="22"/>
        </w:rPr>
        <w:lastRenderedPageBreak/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grossly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 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so-much-talked-about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Egyptians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resuscitation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"oxen,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 things,"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obscurity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 attributed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obscure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growth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 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outgrown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thinking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Egyptian 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subject. </w:t>
      </w:r>
    </w:p>
    <w:p w14:paraId="6FF9EB1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A7C9D" w14:textId="4EF4FADD" w:rsidR="002C3376" w:rsidRDefault="007E3764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E3764">
        <w:rPr>
          <w:rFonts w:asciiTheme="minorHAnsi" w:hAnsiTheme="minorHAnsi" w:cs="Courier New"/>
          <w:b/>
          <w:bCs/>
          <w:sz w:val="22"/>
          <w:szCs w:val="22"/>
        </w:rPr>
        <w:t xml:space="preserve">WELLHAUSEN'S MISTAKE. </w:t>
      </w:r>
    </w:p>
    <w:p w14:paraId="341D9379" w14:textId="77777777" w:rsidR="00440286" w:rsidRDefault="0044028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A6EFE" w14:textId="084D376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75D9B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Aramaic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papyri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Syene</w:t>
      </w:r>
      <w:proofErr w:type="spellEnd"/>
      <w:r w:rsidR="00A75D9B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(53)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pitch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hitherto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heads,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Tolerable,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Bagoas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Josephus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Diodorus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Sanballat,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Nehemiah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Josephus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Jochanan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Nehemiah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 had,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</w:t>
      </w:r>
      <w:r w:rsidR="00A75D9B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(54)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words: 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imbued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worshiping 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unbuilt.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date,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sanctuary."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Syene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407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 Nehemiah's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evidencing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approval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re-establishing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sacrificial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governor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Nehemiah. </w:t>
      </w:r>
    </w:p>
    <w:p w14:paraId="5B30184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10DA1F" w14:textId="77777777" w:rsidR="002C3376" w:rsidRPr="00A75D9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5D9B">
        <w:rPr>
          <w:rFonts w:asciiTheme="minorHAnsi" w:hAnsiTheme="minorHAnsi" w:cs="Courier New"/>
          <w:b/>
          <w:bCs/>
          <w:sz w:val="22"/>
          <w:szCs w:val="22"/>
        </w:rPr>
        <w:t>NEW</w:t>
      </w:r>
      <w:r w:rsidR="00634383" w:rsidRPr="00A75D9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5D9B">
        <w:rPr>
          <w:rFonts w:asciiTheme="minorHAnsi" w:hAnsiTheme="minorHAnsi" w:cs="Courier New"/>
          <w:b/>
          <w:bCs/>
          <w:sz w:val="22"/>
          <w:szCs w:val="22"/>
        </w:rPr>
        <w:t>TESTAMENT</w:t>
      </w:r>
      <w:r w:rsidR="00737290" w:rsidRPr="00A75D9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5D9B">
        <w:rPr>
          <w:rFonts w:asciiTheme="minorHAnsi" w:hAnsiTheme="minorHAnsi" w:cs="Courier New"/>
          <w:b/>
          <w:bCs/>
          <w:sz w:val="22"/>
          <w:szCs w:val="22"/>
        </w:rPr>
        <w:t xml:space="preserve">GREEK. </w:t>
      </w:r>
    </w:p>
    <w:p w14:paraId="11E091C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63405" w14:textId="38424C3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75D9B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Hermetic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A75D9B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55</w:t>
      </w:r>
      <w:r w:rsidR="00A75D9B">
        <w:rPr>
          <w:rFonts w:asciiTheme="minorHAnsi" w:hAnsiTheme="minorHAnsi" w:cs="Courier New"/>
          <w:sz w:val="22"/>
          <w:szCs w:val="22"/>
        </w:rPr>
        <w:t>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whereby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500-300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Alexandrian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 letter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subject,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 "My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phrases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56072">
        <w:rPr>
          <w:rFonts w:asciiTheme="minorHAnsi" w:hAnsiTheme="minorHAnsi" w:cs="Courier New"/>
          <w:sz w:val="22"/>
          <w:szCs w:val="22"/>
        </w:rPr>
        <w:t>B.C.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grasped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language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angelos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expressed."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dates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Petrie's 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Hermetic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A75D9B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reaching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Apostles. </w:t>
      </w:r>
    </w:p>
    <w:p w14:paraId="4BB2B2B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2683CD" w14:textId="77777777" w:rsidR="002C3376" w:rsidRPr="00A75D9B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5D9B">
        <w:rPr>
          <w:rFonts w:asciiTheme="minorHAnsi" w:hAnsiTheme="minorHAnsi" w:cs="Courier New"/>
          <w:b/>
          <w:bCs/>
          <w:sz w:val="22"/>
          <w:szCs w:val="22"/>
        </w:rPr>
        <w:t>V.</w:t>
      </w:r>
      <w:r w:rsidR="00634383" w:rsidRPr="00A75D9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5D9B">
        <w:rPr>
          <w:rFonts w:asciiTheme="minorHAnsi" w:hAnsiTheme="minorHAnsi" w:cs="Courier New"/>
          <w:b/>
          <w:bCs/>
          <w:sz w:val="22"/>
          <w:szCs w:val="22"/>
        </w:rPr>
        <w:t xml:space="preserve">IDENTIFICATIONS. </w:t>
      </w:r>
    </w:p>
    <w:p w14:paraId="43B06C5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B1D1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places,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narrative. </w:t>
      </w:r>
    </w:p>
    <w:p w14:paraId="72815B5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828D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helplessly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pinholes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pediment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Parthenon,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speculating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announcement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bronze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pinholes.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last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ingenious young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pinholes,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collocation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imperial 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isolated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 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pinholes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collocation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mosaic. </w:t>
      </w:r>
    </w:p>
    <w:p w14:paraId="4A2A11E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7D81E7" w14:textId="35813A3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intrinsic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1874, Clermont-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Ganneau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Gezer</w:t>
      </w:r>
      <w:r w:rsidR="00A75D9B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56),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Stewart Macalister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uncovering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treasures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A75D9B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(57)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1906,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Winckler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Hittites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1904-</w:t>
      </w:r>
      <w:r w:rsidR="00A75D9B">
        <w:rPr>
          <w:rFonts w:asciiTheme="minorHAnsi" w:hAnsiTheme="minorHAnsi" w:cs="Courier New"/>
          <w:sz w:val="22"/>
          <w:szCs w:val="22"/>
        </w:rPr>
        <w:t>190</w:t>
      </w:r>
      <w:r w:rsidRPr="00F55589">
        <w:rPr>
          <w:rFonts w:asciiTheme="minorHAnsi" w:hAnsiTheme="minorHAnsi" w:cs="Courier New"/>
          <w:sz w:val="22"/>
          <w:szCs w:val="22"/>
        </w:rPr>
        <w:t>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Schumacker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explored Megiddo;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1900-</w:t>
      </w:r>
      <w:r w:rsidR="00A75D9B">
        <w:rPr>
          <w:rFonts w:asciiTheme="minorHAnsi" w:hAnsiTheme="minorHAnsi" w:cs="Courier New"/>
          <w:sz w:val="22"/>
          <w:szCs w:val="22"/>
        </w:rPr>
        <w:t>19</w:t>
      </w:r>
      <w:r w:rsidRPr="00F55589">
        <w:rPr>
          <w:rFonts w:asciiTheme="minorHAnsi" w:hAnsiTheme="minorHAnsi" w:cs="Courier New"/>
          <w:sz w:val="22"/>
          <w:szCs w:val="22"/>
        </w:rPr>
        <w:t>02,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Sellin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Taannek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Jericho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accurately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Sellin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walls 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Edomites,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patriarchal 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Meremptah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papyrus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Anastasia</w:t>
      </w:r>
      <w:r w:rsidR="00A75D9B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(58)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Moab,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dispute,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controversy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Luxor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1908,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Rameses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</w:t>
      </w:r>
      <w:r w:rsidR="00A75D9B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xodus</w:t>
      </w:r>
      <w:r w:rsidR="00A75D9B">
        <w:rPr>
          <w:rFonts w:asciiTheme="minorHAnsi" w:hAnsiTheme="minorHAnsi" w:cs="Courier New"/>
          <w:sz w:val="22"/>
          <w:szCs w:val="22"/>
        </w:rPr>
        <w:t xml:space="preserve"> (</w:t>
      </w:r>
      <w:r w:rsidRPr="00F55589">
        <w:rPr>
          <w:rFonts w:asciiTheme="minorHAnsi" w:hAnsiTheme="minorHAnsi" w:cs="Courier New"/>
          <w:sz w:val="22"/>
          <w:szCs w:val="22"/>
        </w:rPr>
        <w:t>59)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Hilprecht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Nippur(</w:t>
      </w:r>
      <w:r w:rsidR="00A75D9B">
        <w:rPr>
          <w:rFonts w:asciiTheme="minorHAnsi" w:hAnsiTheme="minorHAnsi" w:cs="Courier New"/>
          <w:sz w:val="22"/>
          <w:szCs w:val="22"/>
        </w:rPr>
        <w:t>60</w:t>
      </w:r>
      <w:r w:rsidRPr="00F55589">
        <w:rPr>
          <w:rFonts w:asciiTheme="minorHAnsi" w:hAnsiTheme="minorHAnsi" w:cs="Courier New"/>
          <w:sz w:val="22"/>
          <w:szCs w:val="22"/>
        </w:rPr>
        <w:t>),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Arabia</w:t>
      </w:r>
      <w:r w:rsidR="00A75D9B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(61), Petrie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Maghereh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</w:t>
      </w:r>
      <w:r w:rsidR="00A75D9B">
        <w:rPr>
          <w:rFonts w:asciiTheme="minorHAnsi" w:hAnsiTheme="minorHAnsi" w:cs="Courier New"/>
          <w:sz w:val="22"/>
          <w:szCs w:val="22"/>
        </w:rPr>
        <w:t xml:space="preserve"> (6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A75D9B">
        <w:rPr>
          <w:rFonts w:asciiTheme="minorHAnsi" w:hAnsiTheme="minorHAnsi" w:cs="Courier New"/>
          <w:sz w:val="22"/>
          <w:szCs w:val="22"/>
        </w:rPr>
        <w:t>)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Reisner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Samaria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geographical, ethnographical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identifications. </w:t>
      </w:r>
    </w:p>
    <w:p w14:paraId="154167E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D6A43" w14:textId="79AC740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rapidly approaching,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collocation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identifications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archaeology,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surroundings,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apologetics. Fancy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wanderings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Ulysses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identified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 route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visited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creatures,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monstrous,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unmistakable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Homer's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1C4550">
        <w:rPr>
          <w:rFonts w:asciiTheme="minorHAnsi" w:hAnsiTheme="minorHAnsi" w:cs="Courier New"/>
          <w:sz w:val="22"/>
          <w:szCs w:val="22"/>
        </w:rPr>
        <w:t>!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romance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independent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wanderings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Ulysses;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unhesitatingly 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category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 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geography,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ethnology,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blind,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blind. </w:t>
      </w:r>
    </w:p>
    <w:p w14:paraId="2C85769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08315D" w14:textId="4910AAA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identifications appears.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differentiate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geography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nowhere,"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folklore,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limits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identification 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finished. </w:t>
      </w:r>
    </w:p>
    <w:p w14:paraId="121D6BB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0020D" w14:textId="77777777" w:rsidR="002445DA" w:rsidRPr="002445DA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45DA">
        <w:rPr>
          <w:rFonts w:asciiTheme="minorHAnsi" w:hAnsiTheme="minorHAnsi" w:cs="Courier New"/>
          <w:b/>
          <w:bCs/>
          <w:sz w:val="22"/>
          <w:szCs w:val="22"/>
        </w:rPr>
        <w:t xml:space="preserve">CONCLUSION. </w:t>
      </w:r>
    </w:p>
    <w:p w14:paraId="405AA263" w14:textId="1F7039A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pointed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words. </w:t>
      </w:r>
    </w:p>
    <w:p w14:paraId="301AB3C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14957D" w14:textId="77777777" w:rsidR="002C3376" w:rsidRPr="002445DA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45DA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634383" w:rsidRPr="002445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45DA">
        <w:rPr>
          <w:rFonts w:asciiTheme="minorHAnsi" w:hAnsiTheme="minorHAnsi" w:cs="Courier New"/>
          <w:b/>
          <w:bCs/>
          <w:sz w:val="22"/>
          <w:szCs w:val="22"/>
        </w:rPr>
        <w:t xml:space="preserve">EVOLUTION. </w:t>
      </w:r>
    </w:p>
    <w:p w14:paraId="13C634B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B7E15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445DA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illuminated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 narrative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profane,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steady progress,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regular,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primitive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imperatively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fulfill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 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Taannek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Gezer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 engineering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defenses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water-works. Wherever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 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Canaanite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handicraft, 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engineering,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architecture,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climate,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location impose;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execution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eclipsed,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Graeco-Roman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Solomonic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period. </w:t>
      </w:r>
    </w:p>
    <w:p w14:paraId="136FBE7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4C5CB7" w14:textId="77777777" w:rsidR="002C3376" w:rsidRPr="002445DA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45DA">
        <w:rPr>
          <w:rFonts w:asciiTheme="minorHAnsi" w:hAnsiTheme="minorHAnsi" w:cs="Courier New"/>
          <w:b/>
          <w:bCs/>
          <w:sz w:val="22"/>
          <w:szCs w:val="22"/>
        </w:rPr>
        <w:t>HARMONY</w:t>
      </w:r>
      <w:r w:rsidR="00737290" w:rsidRPr="002445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45DA">
        <w:rPr>
          <w:rFonts w:asciiTheme="minorHAnsi" w:hAnsiTheme="minorHAnsi" w:cs="Courier New"/>
          <w:b/>
          <w:bCs/>
          <w:sz w:val="22"/>
          <w:szCs w:val="22"/>
        </w:rPr>
        <w:t>WITH</w:t>
      </w:r>
      <w:r w:rsidR="00737290" w:rsidRPr="002445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45DA">
        <w:rPr>
          <w:rFonts w:asciiTheme="minorHAnsi" w:hAnsiTheme="minorHAnsi" w:cs="Courier New"/>
          <w:b/>
          <w:bCs/>
          <w:sz w:val="22"/>
          <w:szCs w:val="22"/>
        </w:rPr>
        <w:t xml:space="preserve">SCRIPTURE. </w:t>
      </w:r>
    </w:p>
    <w:p w14:paraId="3CCBDEA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03686" w14:textId="35CB7E7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445DA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narrowly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archaeological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afforded ^or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harmony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significant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 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square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archaeology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contemporaneous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indicates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everywhere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illiteracy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Western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Semitic 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nomadic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barbarity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patriarchs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personifications,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"Egypt,"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inconsequence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law-giver,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dozen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definitely supported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research.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 reconstructing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</w:t>
      </w:r>
      <w:r w:rsidR="002445DA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while,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support. </w:t>
      </w:r>
    </w:p>
    <w:p w14:paraId="0BEDF60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8A43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archaeology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uniformly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favorable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reconstructed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criticism. </w:t>
      </w:r>
    </w:p>
    <w:p w14:paraId="166ABF1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7FF320" w14:textId="77777777" w:rsidR="002C3376" w:rsidRPr="002445DA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45DA">
        <w:rPr>
          <w:rFonts w:asciiTheme="minorHAnsi" w:hAnsiTheme="minorHAnsi" w:cs="Courier New"/>
          <w:b/>
          <w:bCs/>
          <w:sz w:val="22"/>
          <w:szCs w:val="22"/>
        </w:rPr>
        <w:t>AUTHORITIES</w:t>
      </w:r>
      <w:r w:rsidR="00737290" w:rsidRPr="002445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45DA">
        <w:rPr>
          <w:rFonts w:asciiTheme="minorHAnsi" w:hAnsiTheme="minorHAnsi" w:cs="Courier New"/>
          <w:b/>
          <w:bCs/>
          <w:sz w:val="22"/>
          <w:szCs w:val="22"/>
        </w:rPr>
        <w:t>REFERRED</w:t>
      </w:r>
      <w:r w:rsidR="00737290" w:rsidRPr="002445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45DA">
        <w:rPr>
          <w:rFonts w:asciiTheme="minorHAnsi" w:hAnsiTheme="minorHAnsi" w:cs="Courier New"/>
          <w:b/>
          <w:bCs/>
          <w:sz w:val="22"/>
          <w:szCs w:val="22"/>
        </w:rPr>
        <w:t>TO</w:t>
      </w:r>
      <w:r w:rsidR="00737290" w:rsidRPr="002445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45DA">
        <w:rPr>
          <w:rFonts w:asciiTheme="minorHAnsi" w:hAnsiTheme="minorHAnsi" w:cs="Courier New"/>
          <w:b/>
          <w:bCs/>
          <w:sz w:val="22"/>
          <w:szCs w:val="22"/>
        </w:rPr>
        <w:t xml:space="preserve">ABOVE. </w:t>
      </w:r>
    </w:p>
    <w:p w14:paraId="2249254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9EC7BF" w14:textId="77777777" w:rsidR="002C3376" w:rsidRPr="002445DA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45DA">
        <w:rPr>
          <w:rFonts w:asciiTheme="minorHAnsi" w:hAnsiTheme="minorHAnsi" w:cs="Courier New"/>
          <w:b/>
          <w:bCs/>
          <w:sz w:val="22"/>
          <w:szCs w:val="22"/>
        </w:rPr>
        <w:t>ABBREVIATIONS</w:t>
      </w:r>
      <w:r w:rsidR="00737290" w:rsidRPr="002445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45DA">
        <w:rPr>
          <w:rFonts w:asciiTheme="minorHAnsi" w:hAnsiTheme="minorHAnsi" w:cs="Courier New"/>
          <w:b/>
          <w:bCs/>
          <w:sz w:val="22"/>
          <w:szCs w:val="22"/>
        </w:rPr>
        <w:t>USED</w:t>
      </w:r>
      <w:r w:rsidR="00634383" w:rsidRPr="002445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45DA">
        <w:rPr>
          <w:rFonts w:asciiTheme="minorHAnsi" w:hAnsiTheme="minorHAnsi" w:cs="Courier New"/>
          <w:b/>
          <w:bCs/>
          <w:sz w:val="22"/>
          <w:szCs w:val="22"/>
        </w:rPr>
        <w:t>IN</w:t>
      </w:r>
      <w:r w:rsidR="00737290" w:rsidRPr="002445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445DA">
        <w:rPr>
          <w:rFonts w:asciiTheme="minorHAnsi" w:hAnsiTheme="minorHAnsi" w:cs="Courier New"/>
          <w:b/>
          <w:bCs/>
          <w:sz w:val="22"/>
          <w:szCs w:val="22"/>
        </w:rPr>
        <w:t xml:space="preserve">REFERENCES. </w:t>
      </w:r>
    </w:p>
    <w:p w14:paraId="00359F5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7E3668" w14:textId="5347D4D4" w:rsidR="002445DA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Z.</w:t>
      </w:r>
      <w:r w:rsidR="002445DA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=</w:t>
      </w:r>
      <w:r w:rsidR="002445DA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Orientalistischen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Litteratur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-Zeitung. </w:t>
      </w:r>
    </w:p>
    <w:p w14:paraId="2E61E246" w14:textId="7F6E9D8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Q.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</w:t>
      </w:r>
      <w:r w:rsidR="002445DA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=</w:t>
      </w:r>
      <w:r w:rsidR="002445DA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Quarterly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Exploration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Society. </w:t>
      </w:r>
    </w:p>
    <w:p w14:paraId="022367E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3262E1" w14:textId="77777777" w:rsidR="002C3376" w:rsidRPr="002445DA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445DA">
        <w:rPr>
          <w:rFonts w:asciiTheme="minorHAnsi" w:hAnsiTheme="minorHAnsi" w:cs="Courier New"/>
          <w:b/>
          <w:bCs/>
          <w:sz w:val="22"/>
          <w:szCs w:val="22"/>
        </w:rPr>
        <w:t xml:space="preserve">REFERENCES. </w:t>
      </w:r>
    </w:p>
    <w:p w14:paraId="62ED61A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84E9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12:10-20;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47:1-12. </w:t>
      </w:r>
    </w:p>
    <w:p w14:paraId="3DBB023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14-46. </w:t>
      </w:r>
    </w:p>
    <w:p w14:paraId="7820D7F6" w14:textId="344434C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(3)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57-58, quoting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Schultz,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Smith, 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Woods. </w:t>
      </w:r>
    </w:p>
    <w:p w14:paraId="0F9297A5" w14:textId="05795B7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Brugsch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Pharaohs,"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Broderick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edition, Chap.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VI. </w:t>
      </w:r>
    </w:p>
    <w:p w14:paraId="05D05FF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Ibid. </w:t>
      </w:r>
    </w:p>
    <w:p w14:paraId="25FD99F0" w14:textId="1BB6CFF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 xml:space="preserve">25-39. </w:t>
      </w:r>
    </w:p>
    <w:p w14:paraId="0D07498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(7)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"Hyksos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Cities." </w:t>
      </w:r>
    </w:p>
    <w:p w14:paraId="6B9D9D5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(8)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Ibid,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10,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IX. </w:t>
      </w:r>
    </w:p>
    <w:p w14:paraId="18AAA4E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(9)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Ibid,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5-9.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IV. </w:t>
      </w:r>
    </w:p>
    <w:p w14:paraId="6585A4C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(10)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137-138. </w:t>
      </w:r>
    </w:p>
    <w:p w14:paraId="725FA6ED" w14:textId="1FCDEEE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Kyle,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Recueil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Travaux,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XXX,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"Geographic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Ethnic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Rameses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II." </w:t>
      </w:r>
    </w:p>
    <w:p w14:paraId="5A93C470" w14:textId="3A51E26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Asien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Europa."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Kapitel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. </w:t>
      </w:r>
    </w:p>
    <w:p w14:paraId="71E3DDB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Ibid. </w:t>
      </w:r>
    </w:p>
    <w:p w14:paraId="4DBDBE4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Winckler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1906. </w:t>
      </w:r>
    </w:p>
    <w:p w14:paraId="033A5D87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Ibid. </w:t>
      </w:r>
    </w:p>
    <w:p w14:paraId="5BE45B1E" w14:textId="12D39A5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Bouriant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Recueil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Travaux,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XIII,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ff.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Budge,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48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ff.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Goodwin, "Records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IV,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 25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ff. </w:t>
      </w:r>
    </w:p>
    <w:p w14:paraId="29FFE14B" w14:textId="033AA36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(17)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Mitteilungen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Vorderasiatischen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Gesselschaft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 5.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Recueil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Travaux,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VIII,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126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ff. Budge,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ff. </w:t>
      </w:r>
    </w:p>
    <w:p w14:paraId="46C9727A" w14:textId="6EFA094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(18)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Winckler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1906.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Sonderabzug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15.) </w:t>
      </w:r>
    </w:p>
    <w:p w14:paraId="39398A5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(19)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Ibid.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Sonderabzug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22.) </w:t>
      </w:r>
    </w:p>
    <w:p w14:paraId="497AF0B0" w14:textId="7858C7E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(20)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Conder.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Amarna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Tablets."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Egypt,"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IV,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184-241. </w:t>
      </w:r>
    </w:p>
    <w:p w14:paraId="0C707B9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(21)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Winckler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1906.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Sonderabzug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. </w:t>
      </w:r>
    </w:p>
    <w:p w14:paraId="6C1EF718" w14:textId="1184E8F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(22)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Messersmidt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Mitteilungen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Vorderasiatischen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Gesselchaft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Corpus,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Unscrip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Het.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1902. </w:t>
      </w:r>
    </w:p>
    <w:p w14:paraId="7AFA54B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(23)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Vincent,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"Canaan." </w:t>
      </w:r>
    </w:p>
    <w:p w14:paraId="7091F52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(24)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"Lachish." </w:t>
      </w:r>
    </w:p>
    <w:p w14:paraId="2A75F9C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(25)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Cities." </w:t>
      </w:r>
    </w:p>
    <w:p w14:paraId="0FC1F199" w14:textId="32E8E7A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(26)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"Bible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Gezer." </w:t>
      </w:r>
    </w:p>
    <w:p w14:paraId="1E5E3F4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(27)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Schumacker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"Excavations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Megiddo." </w:t>
      </w:r>
    </w:p>
    <w:p w14:paraId="22ECE888" w14:textId="6B35A17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(28)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Sellin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Taannek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Denkschriften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Kaiserlichen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Akademie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Wien." </w:t>
      </w:r>
    </w:p>
    <w:p w14:paraId="75A170F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(29)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6:10-11;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24:13;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9:25. </w:t>
      </w:r>
    </w:p>
    <w:p w14:paraId="4D77791D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(30)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19:18. </w:t>
      </w:r>
    </w:p>
    <w:p w14:paraId="7B6E2F2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(31)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16:44-46;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7:3. </w:t>
      </w:r>
    </w:p>
    <w:p w14:paraId="4D14521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(32)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2:11-15;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3:7;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8:33-35;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18:30-31. </w:t>
      </w:r>
    </w:p>
    <w:p w14:paraId="1F9E5C0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(33)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8-9,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49. </w:t>
      </w:r>
    </w:p>
    <w:p w14:paraId="193D554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(34)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17. </w:t>
      </w:r>
    </w:p>
    <w:p w14:paraId="60FE663A" w14:textId="02C9A1F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(35)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</w:t>
      </w:r>
      <w:r w:rsidR="002445DA">
        <w:rPr>
          <w:rFonts w:asciiTheme="minorHAnsi" w:hAnsiTheme="minorHAnsi" w:cs="Courier New"/>
          <w:sz w:val="22"/>
          <w:szCs w:val="22"/>
        </w:rPr>
        <w:t>n</w:t>
      </w:r>
      <w:r w:rsidRPr="00F55589">
        <w:rPr>
          <w:rFonts w:asciiTheme="minorHAnsi" w:hAnsiTheme="minorHAnsi" w:cs="Courier New"/>
          <w:sz w:val="22"/>
          <w:szCs w:val="22"/>
        </w:rPr>
        <w:t>cent,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228. </w:t>
      </w:r>
    </w:p>
    <w:p w14:paraId="1AA4B78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(36)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49. </w:t>
      </w:r>
    </w:p>
    <w:p w14:paraId="3C229F6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(37)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Ibid. </w:t>
      </w:r>
    </w:p>
    <w:p w14:paraId="174ACE19" w14:textId="4BA24D5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(38)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2445DA">
        <w:rPr>
          <w:rFonts w:asciiTheme="minorHAnsi" w:hAnsiTheme="minorHAnsi" w:cs="Courier New"/>
          <w:sz w:val="22"/>
          <w:szCs w:val="22"/>
        </w:rPr>
        <w:t>1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9:16. </w:t>
      </w:r>
    </w:p>
    <w:p w14:paraId="1AD2F9D8" w14:textId="1EAE21B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(39)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Winckler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Orientalistische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Forschungen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pp. 24-41. </w:t>
      </w:r>
    </w:p>
    <w:p w14:paraId="2AC78573" w14:textId="1F4E85A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(40)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2445DA">
        <w:rPr>
          <w:rFonts w:asciiTheme="minorHAnsi" w:hAnsiTheme="minorHAnsi" w:cs="Courier New"/>
          <w:sz w:val="22"/>
          <w:szCs w:val="22"/>
        </w:rPr>
        <w:t>1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9:16. </w:t>
      </w:r>
    </w:p>
    <w:p w14:paraId="4357462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(41)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309. </w:t>
      </w:r>
    </w:p>
    <w:p w14:paraId="062BE51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(42)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Sellin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"Tel-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Taannek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92. </w:t>
      </w:r>
    </w:p>
    <w:p w14:paraId="5CFFAA4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(43)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Jan.-Apr. </w:t>
      </w:r>
    </w:p>
    <w:p w14:paraId="573404E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(44)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Deshasha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IV. </w:t>
      </w:r>
    </w:p>
    <w:p w14:paraId="4D0ED2CA" w14:textId="7391ECB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(45)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 35-52,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"Battle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Megiddo."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Lepsius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Denkmaler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Abth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32,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31st,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30B,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Auswahl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XII,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42-45. </w:t>
      </w:r>
    </w:p>
    <w:p w14:paraId="4CB96AC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(46)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Macalister- Vincent,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1898-08. </w:t>
      </w:r>
    </w:p>
    <w:p w14:paraId="0042F5AC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(47)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IV,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184-241. </w:t>
      </w:r>
    </w:p>
    <w:p w14:paraId="23D767A1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(48)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21-38.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Hammurabi." </w:t>
      </w:r>
    </w:p>
    <w:p w14:paraId="785F0C9D" w14:textId="06FDD3B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(49)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ff.,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"Bible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Lights," Chap.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III.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Sellin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"Tel-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Taannek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96-97. </w:t>
      </w:r>
    </w:p>
    <w:p w14:paraId="7173E54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(50)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Amurru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Northern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Semites." </w:t>
      </w:r>
    </w:p>
    <w:p w14:paraId="558BEBA2" w14:textId="7E18FE6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(51)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"Chronology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Dynasties." </w:t>
      </w:r>
    </w:p>
    <w:p w14:paraId="46541FC2" w14:textId="1FE5448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(52)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Kyle,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Recueil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Travaux.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"Egyptian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Vol, XXVII,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Observations,"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XXXI.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Bibliotheca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Apr.,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1905,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323-336. </w:t>
      </w:r>
    </w:p>
    <w:p w14:paraId="668F0E70" w14:textId="6F428BD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(53)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Margoliouth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"Expository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December,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1907.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"Antiquities,"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1 1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Pr="00F55589">
        <w:rPr>
          <w:rFonts w:asciiTheme="minorHAnsi" w:hAnsiTheme="minorHAnsi" w:cs="Courier New"/>
          <w:sz w:val="22"/>
          <w:szCs w:val="22"/>
        </w:rPr>
        <w:t>7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Deadorus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Siculus: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17-35.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13:28;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12:22;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Esdras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5:14. </w:t>
      </w:r>
    </w:p>
    <w:p w14:paraId="1929CC8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(54)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Brit.,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18,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509. </w:t>
      </w:r>
    </w:p>
    <w:p w14:paraId="37FB8AAE" w14:textId="31B75A5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(55)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Christianity." </w:t>
      </w:r>
    </w:p>
    <w:p w14:paraId="4803F46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(56)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Clermont-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Ganneau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22. </w:t>
      </w:r>
    </w:p>
    <w:p w14:paraId="5AC2E56F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(57)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Macalister,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Lights."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1902-09. </w:t>
      </w:r>
    </w:p>
    <w:p w14:paraId="01E8B60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(58)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Muller,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Asien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Europa." </w:t>
      </w:r>
    </w:p>
    <w:p w14:paraId="762753F3" w14:textId="62113F2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(59)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Kyle,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Recueil</w:t>
      </w:r>
      <w:proofErr w:type="spellEnd"/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Travaux,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XXX.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"Ethnic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Geographical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Rameses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II." </w:t>
      </w:r>
    </w:p>
    <w:p w14:paraId="5DCC7C59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(60)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Hilprecht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"Explorations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Babylonia." </w:t>
      </w:r>
    </w:p>
    <w:p w14:paraId="7B11D026" w14:textId="2AD34D3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(61)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Weber,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Forschungsreisen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Edouard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Glaser;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Studien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zur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Siidarabischen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Altertumskunde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Weber. </w:t>
      </w:r>
    </w:p>
    <w:p w14:paraId="756B3BB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(62)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Petrie,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"Researches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Sinai." </w:t>
      </w:r>
    </w:p>
    <w:p w14:paraId="33256CC9" w14:textId="074705B0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B1F353" w14:textId="27D08E72" w:rsidR="00EF2667" w:rsidRDefault="00EF2667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F57659" w14:textId="685D3256" w:rsidR="00EF2667" w:rsidRDefault="00EF2667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F2667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09F4" w14:textId="77777777" w:rsidR="007E7476" w:rsidRDefault="007E7476" w:rsidP="005C7CC8">
      <w:pPr>
        <w:spacing w:after="0" w:line="240" w:lineRule="auto"/>
      </w:pPr>
      <w:r>
        <w:separator/>
      </w:r>
    </w:p>
  </w:endnote>
  <w:endnote w:type="continuationSeparator" w:id="0">
    <w:p w14:paraId="59359115" w14:textId="77777777" w:rsidR="007E7476" w:rsidRDefault="007E7476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E34C" w14:textId="77777777" w:rsidR="007E7476" w:rsidRDefault="007E7476" w:rsidP="005C7CC8">
      <w:pPr>
        <w:spacing w:after="0" w:line="240" w:lineRule="auto"/>
      </w:pPr>
      <w:r>
        <w:separator/>
      </w:r>
    </w:p>
  </w:footnote>
  <w:footnote w:type="continuationSeparator" w:id="0">
    <w:p w14:paraId="39DDB5D9" w14:textId="77777777" w:rsidR="007E7476" w:rsidRDefault="007E7476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A2376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7E7476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10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2024-06-01T15:43:00Z</dcterms:modified>
</cp:coreProperties>
</file>