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1894" w14:textId="77777777" w:rsidR="00BC1C81" w:rsidRPr="009C4472" w:rsidRDefault="00BC1C81" w:rsidP="00BC1C81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059EC933" w14:textId="69687176" w:rsidR="00BC1C81" w:rsidRDefault="00BC1C81" w:rsidP="00BC1C81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22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BC1C81">
        <w:rPr>
          <w:rFonts w:ascii="Calibri" w:eastAsia="Calibri" w:hAnsi="Calibri" w:cs="Times New Roman"/>
          <w:b/>
          <w:sz w:val="32"/>
          <w:u w:val="single"/>
        </w:rPr>
        <w:t>ROME, THE ANTAGONIST OF THE NATION</w:t>
      </w:r>
    </w:p>
    <w:p w14:paraId="37995E81" w14:textId="77777777" w:rsidR="00BC1C81" w:rsidRDefault="00BC1C81" w:rsidP="00BC1C81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06B28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FOSTER,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BOSTON,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MASSACHUSETTS </w:t>
      </w:r>
    </w:p>
    <w:p w14:paraId="4A9CDB7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FC208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politico-ecclesiastical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hoary-headed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Milton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"Popery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two-fold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usurped,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undeniable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facts. </w:t>
      </w:r>
    </w:p>
    <w:p w14:paraId="21E0A09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782D69" w14:textId="77777777" w:rsidR="002C3376" w:rsidRPr="00BC1C8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C1C81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ROME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NATION'S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ANTAGONIST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BECAUSE IT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CORRUPT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CORRUPTING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SYSTEM OF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FALSEHOOD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IDOLATRY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THAT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>POLLUTES OUR</w:t>
      </w:r>
      <w:r w:rsidR="00737290" w:rsidRPr="00BC1C8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C1C81">
        <w:rPr>
          <w:rFonts w:asciiTheme="minorHAnsi" w:hAnsiTheme="minorHAnsi" w:cs="Courier New"/>
          <w:b/>
          <w:bCs/>
          <w:sz w:val="22"/>
          <w:szCs w:val="22"/>
        </w:rPr>
        <w:t xml:space="preserve">LAND. </w:t>
      </w:r>
    </w:p>
    <w:p w14:paraId="411F9B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F5DE11" w14:textId="67FDFC0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Cardinal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 ("Lectures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Four-fold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London, 1871,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Unquestionably,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Cardinal Newman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middle 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(Essays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solemnly 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idolatry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"barbarian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hordes"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over-ran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dismembered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 proposing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paganism.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 temples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incorporated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heathenism."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 feared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recognizing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Emperor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Constantinople,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Phocas,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 bishop.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Boniface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Byzantium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Emperor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 bishop,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Phocas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Boniface 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606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C4550">
        <w:rPr>
          <w:rFonts w:asciiTheme="minorHAnsi" w:hAnsiTheme="minorHAnsi" w:cs="Courier New"/>
          <w:sz w:val="22"/>
          <w:szCs w:val="22"/>
        </w:rPr>
        <w:t>A.D.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Caesars. 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ascribed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law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pontiff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styled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vicegerent.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treason.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images,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Jupiter.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cathedrals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 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1564.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decree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immaculate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promulgated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1854,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1870,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this. </w:t>
      </w:r>
    </w:p>
    <w:p w14:paraId="05CB6FB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56BB7C" w14:textId="3C6E4CE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71F8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restricts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"Index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Prohibited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"Since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vulgar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inquisitor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piety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writing).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ordinary."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prohibition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XII,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Encyclical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bishops thus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vernacular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Bibles].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Reprove, entreat,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 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(adhering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'Congregation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Index')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 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indiscriminately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 evil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rashness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hold,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unanimous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"authorized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Writ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unanimous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517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dialects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trunk languages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three-fourths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inhabitants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300,000,000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Douay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1582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Rheims,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1609.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Rome's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Lasserre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struck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fragments,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chronological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order,"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copies,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interfered.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withdrawn,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peremptorily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stopped,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inaccurately.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fragments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understand. 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spontaneously,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possession.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Uganda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fellow-countrymen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reading. </w:t>
      </w:r>
    </w:p>
    <w:p w14:paraId="4D1E12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6ED66D" w14:textId="1D203EA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71F8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Apocrypha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Apocrypha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Babylonian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dispersed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 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Malachi,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856072">
        <w:rPr>
          <w:rFonts w:asciiTheme="minorHAnsi" w:hAnsiTheme="minorHAnsi" w:cs="Courier New"/>
          <w:sz w:val="22"/>
          <w:szCs w:val="22"/>
        </w:rPr>
        <w:t>B.C.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280,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Ptolomy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rabbi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Egypt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Alexandrian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superseded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</w:t>
      </w:r>
      <w:r w:rsidR="002471F8">
        <w:rPr>
          <w:rFonts w:asciiTheme="minorHAnsi" w:hAnsiTheme="minorHAnsi" w:cs="Courier New"/>
          <w:sz w:val="22"/>
          <w:szCs w:val="22"/>
        </w:rPr>
        <w:t>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Apooypha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2471F8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fathers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Apocryphal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Vulgate, 404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C4550">
        <w:rPr>
          <w:rFonts w:asciiTheme="minorHAnsi" w:hAnsiTheme="minorHAnsi" w:cs="Courier New"/>
          <w:sz w:val="22"/>
          <w:szCs w:val="22"/>
        </w:rPr>
        <w:t>A.D.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Chaldee</w:t>
      </w:r>
      <w:r w:rsidR="00540BF6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Melito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Talmud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Cajetan (1518)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Ximenes,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Complutensian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Polyglot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(1517),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 differed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Apocrypha,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540BF6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incompetent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Apocrypha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anathema. </w:t>
      </w:r>
    </w:p>
    <w:p w14:paraId="0BCF9D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ECE54F" w14:textId="6CC470C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40BF6">
        <w:rPr>
          <w:rFonts w:asciiTheme="minorHAnsi" w:hAnsiTheme="minorHAnsi" w:cs="Courier New"/>
          <w:b/>
          <w:bCs/>
          <w:sz w:val="22"/>
          <w:szCs w:val="22"/>
        </w:rPr>
        <w:lastRenderedPageBreak/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40BF6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IV)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"Seeing 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(saving)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(moral)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dictating,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transmitted,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"tradition"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registered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tested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Abbe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Migne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compilation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dug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lies. </w:t>
      </w:r>
    </w:p>
    <w:p w14:paraId="118B2E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25B55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40BF6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to-wit: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confirmation,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Eucharist,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matrimony;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 VII;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 sacrament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penance, confirmation,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matrimony,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sacraments.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usurps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prerogatives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68017F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FB9BA9" w14:textId="20CC53B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40BF6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transubstantiation.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XII,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4)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transubstantiation."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holy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Eucharist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substantially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divinity,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mediaeval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Aristotle,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"substance"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"accidents"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accidents,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unreasonable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unscriptural. </w:t>
      </w:r>
    </w:p>
    <w:p w14:paraId="676DA5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A83376" w14:textId="21AEC67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40BF6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 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813).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Eucharistic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Eucharist.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viz.,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wine." 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blood." 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 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viz.,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presumption?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Eucharistic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"Protestants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Oh, blasphemous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540BF6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sanctified,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sacrifice,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 How,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sacrifice?" </w:t>
      </w:r>
    </w:p>
    <w:p w14:paraId="53348C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CB24F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40BF6">
        <w:rPr>
          <w:rFonts w:asciiTheme="minorHAnsi" w:hAnsiTheme="minorHAnsi" w:cs="Courier New"/>
          <w:b/>
          <w:bCs/>
          <w:sz w:val="22"/>
          <w:szCs w:val="22"/>
        </w:rPr>
        <w:t>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suffice.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clerics,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consecrating,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XXI;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20).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unscriptural.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culmination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Christ. </w:t>
      </w:r>
    </w:p>
    <w:p w14:paraId="7C51DFA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56BFB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40BF6">
        <w:rPr>
          <w:rFonts w:asciiTheme="minorHAnsi" w:hAnsiTheme="minorHAnsi" w:cs="Courier New"/>
          <w:b/>
          <w:bCs/>
          <w:sz w:val="22"/>
          <w:szCs w:val="22"/>
        </w:rPr>
        <w:t>8.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traffics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purgatory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 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husband.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recently,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Brugidon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Abbe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Rome. </w:t>
      </w:r>
    </w:p>
    <w:p w14:paraId="68A4504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41EBBA" w14:textId="1071BCBE" w:rsidR="002C3376" w:rsidRPr="00540BF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40BF6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ROME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NATION'S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ANTAGONIST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BECAUSE IT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POLITICAL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SYSTEM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>O</w:t>
      </w:r>
      <w:r w:rsidR="00416323">
        <w:rPr>
          <w:rFonts w:asciiTheme="minorHAnsi" w:hAnsiTheme="minorHAnsi" w:cs="Courier New"/>
          <w:b/>
          <w:bCs/>
          <w:sz w:val="22"/>
          <w:szCs w:val="22"/>
        </w:rPr>
        <w:t>F</w:t>
      </w:r>
      <w:r w:rsidR="00737290" w:rsidRPr="00540BF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BF6">
        <w:rPr>
          <w:rFonts w:asciiTheme="minorHAnsi" w:hAnsiTheme="minorHAnsi" w:cs="Courier New"/>
          <w:b/>
          <w:bCs/>
          <w:sz w:val="22"/>
          <w:szCs w:val="22"/>
        </w:rPr>
        <w:t xml:space="preserve">FOREIGN DESPOTISM. </w:t>
      </w:r>
    </w:p>
    <w:p w14:paraId="56BA2B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70473C" w14:textId="77777777" w:rsidR="00416323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 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persecuting. 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nominally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persecuted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controlled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bishop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longed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Byzantine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ambition.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Clovis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Soissons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486.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monarchy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Merovingian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Merovingian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dynasty 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superseded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Carlovingian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dynasty.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thus: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Childeric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Merovingian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weak,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Palace,"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Saracens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civilization. 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Poitiers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732,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scourge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successor, Pepin,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Childeric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 permit.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Pepin desired,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Pepin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domination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Byzantium.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Pepin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Alps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Stephen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755.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Pepin 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Charlemagne,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Pepin,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III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"Emperor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Charlemagne decreed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one-tenth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forfeiture.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decretals"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Isadore,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unblushing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promulgated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847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853.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858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"Donation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Constantine,"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requisitioned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Nicholas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962,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Germans";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Hildebrand enforced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celibacy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1073;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Adrian IV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1156;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Boniface VIII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Sanctum,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1303,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Encyclical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1864,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CB3EE5A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pope. </w:t>
      </w:r>
    </w:p>
    <w:p w14:paraId="2329BF34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papal supremacy.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9C187EA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AADF494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princes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B584153" w14:textId="45E3AE99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612AF80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cooperate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E5A6683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7A87393" w14:textId="6F93A629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8.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243F591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9.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subordinate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higher.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EB36255" w14:textId="12D00B08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10.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7045934" w14:textId="5713F6A2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11.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hierarchy]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Jeremiah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'Lo,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308EBAB" w14:textId="77777777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12.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C43100C" w14:textId="33CB8DBA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13.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obtaining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002B969" w14:textId="438FBC99" w:rsidR="00416323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14.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enforced.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1FF2BCA" w14:textId="6CDEF24F" w:rsidR="002C3376" w:rsidRDefault="00AC11C6" w:rsidP="00416323">
      <w:pPr>
        <w:pStyle w:val="PlainText"/>
        <w:ind w:left="426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15.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authorities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against God." </w:t>
      </w:r>
    </w:p>
    <w:p w14:paraId="2877DC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97952F" w14:textId="372B9A8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1164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Hadrian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Frederick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Barbarossa,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1806,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Napoleon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Bonaparte 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abdicate.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Immanuel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 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1870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Quirinal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Italy,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Prisoner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Vatican"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excommunications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conqueror: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undefiled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celestial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archangels, thrones,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cherubim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seraphim;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patriarchs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excommunicate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anathematize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threshold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sequester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excruciating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sufferings, 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Dathan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Abiram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ways!'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quenched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 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</w:t>
      </w:r>
      <w:r w:rsidR="00416323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byway,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Michael,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 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thirsting,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slumbering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walking,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blood-letting.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faculties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outwardly;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ears;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eyebrows,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cheeks,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jaw-bones,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nostrils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foreteeth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grinders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throat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wrists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fingers.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viscera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thighs,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hips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toe-nails.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 him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Amen." </w:t>
      </w:r>
    </w:p>
    <w:p w14:paraId="3FA38F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D04E73" w14:textId="394D126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Prussian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Napoleon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ex-communicated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prelates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infallibility.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Ultramontanes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attempted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Chancellor,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Bismarck,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Parliament,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Canossa,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1872,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Reichstag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expelling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separating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monastic orders.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Portugal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likewise.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Tiber.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coronation oath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Rule"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Vatican.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1,500,000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 governments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municipal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censored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Jesuits.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Washington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Canossa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 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friars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Philippines,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 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coarse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sackcloth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barefoot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swallow-tailed coat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once.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$7,500,000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$1,000,000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$406,000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damages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fostered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hierarchy owns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$300,000,000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parochial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clamorously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fund.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duplicity.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skeptics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 corporation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exclaim: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secular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incomplete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parochial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 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fairness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lighten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State;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citizenship;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discharging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citizenship,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Gibbons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cabinet,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Senators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Cathedral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Washington,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 elections,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Philippines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Vatican,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 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Philippine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policy.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prevail. </w:t>
      </w:r>
    </w:p>
    <w:p w14:paraId="5AFC84D4" w14:textId="5CC8DF0D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21CE71" w14:textId="28F97AED" w:rsidR="00960FBE" w:rsidRDefault="00960FB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EDA095" w14:textId="08361660" w:rsidR="00960FBE" w:rsidRDefault="00960FB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960FBE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31CE" w14:textId="77777777" w:rsidR="00C04181" w:rsidRDefault="00C04181" w:rsidP="005C7CC8">
      <w:pPr>
        <w:spacing w:after="0" w:line="240" w:lineRule="auto"/>
      </w:pPr>
      <w:r>
        <w:separator/>
      </w:r>
    </w:p>
  </w:endnote>
  <w:endnote w:type="continuationSeparator" w:id="0">
    <w:p w14:paraId="55076FF7" w14:textId="77777777" w:rsidR="00C04181" w:rsidRDefault="00C04181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4761" w14:textId="77777777" w:rsidR="00C04181" w:rsidRDefault="00C04181" w:rsidP="005C7CC8">
      <w:pPr>
        <w:spacing w:after="0" w:line="240" w:lineRule="auto"/>
      </w:pPr>
      <w:r>
        <w:separator/>
      </w:r>
    </w:p>
  </w:footnote>
  <w:footnote w:type="continuationSeparator" w:id="0">
    <w:p w14:paraId="5278BCD9" w14:textId="77777777" w:rsidR="00C04181" w:rsidRDefault="00C04181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18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47F9B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2024-08-25T15:44:00Z</dcterms:modified>
</cp:coreProperties>
</file>