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85BB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1BD2E4E" w14:textId="068F767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076</w:t>
      </w:r>
      <w:r w:rsidR="000D6B18" w:rsidRPr="000D6B18">
        <w:rPr>
          <w:sz w:val="32"/>
          <w:u w:val="single"/>
        </w:rPr>
        <w:t xml:space="preserve">. </w:t>
      </w:r>
      <w:r w:rsidR="0043672A">
        <w:rPr>
          <w:b/>
          <w:sz w:val="32"/>
          <w:u w:val="single"/>
        </w:rPr>
        <w:t>JOY AND FAITH, THE FRUITS OF CHRIST'S DEPARTURE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1A611DF" w14:textId="5853341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3672A" w:rsidRPr="0043672A">
        <w:rPr>
          <w:rFonts w:cstheme="minorHAnsi"/>
          <w:i/>
          <w:sz w:val="24"/>
          <w:szCs w:val="24"/>
          <w:lang w:val="en-US"/>
        </w:rPr>
        <w:t>Ye have heard how I said unto you, I go away, and come again unto you. If ye loved Me, ye would rejoice, because I said, I go unto the Father: for My Father is greater than I. And now I have told you before it come to pass, that, when it is come to pass, ye might believe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B085FF1" w14:textId="6395AA24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43672A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</w:t>
      </w:r>
      <w:r w:rsidR="0043672A">
        <w:rPr>
          <w:rFonts w:cstheme="minorHAnsi"/>
          <w:i/>
          <w:sz w:val="24"/>
          <w:szCs w:val="24"/>
          <w:lang w:val="en-US"/>
        </w:rPr>
        <w:t>28-29</w:t>
      </w:r>
    </w:p>
    <w:p w14:paraId="2FC1ACFA" w14:textId="6B7C0BF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2C29B3" w14:textId="7113B8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here casts a glance backward on the course of His previous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gathers together the substance and purpose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 out the intention of His warnings and the true effect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concerning which He had given them 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twofold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first verse of my text His words about that going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away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represented as the source of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advance on the peace that He had just previously been promising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second of our verses these two things--His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facts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revealed--are represented as being the very ground and nourishment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faith.</w:t>
      </w:r>
    </w:p>
    <w:p w14:paraId="03DCF79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48AF76" w14:textId="6D1B259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these two thoughts to look at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departed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fountain of joy to all who love Him; the departed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food of faith.</w:t>
      </w:r>
    </w:p>
    <w:p w14:paraId="3ADC66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80303E" w14:textId="2014091D" w:rsidR="000610DB" w:rsidRPr="0043672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672A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The departure of the Lord is a fountain of joy to those who love</w:t>
      </w:r>
      <w:r w:rsidR="000610DB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Him.</w:t>
      </w:r>
    </w:p>
    <w:p w14:paraId="633409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C75CFD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 first part of our text the going away of Jesus is contemplated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two aspects.</w:t>
      </w:r>
    </w:p>
    <w:p w14:paraId="5C60AE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474507" w14:textId="726A360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is that with which we have already become familiar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previous sermons on this chapter--viz.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bearing upon the disciples;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 that respect it is declared that Christ's going is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coming.</w:t>
      </w:r>
    </w:p>
    <w:p w14:paraId="6497A0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3005B1" w14:textId="049C9F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 we have a new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sublime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self-repression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very seldom touches--viz.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bearing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Himself; and in that aspect we are taught here to regard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as ministering to His exaltation and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as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source of joy to all His lovers.</w:t>
      </w:r>
    </w:p>
    <w:p w14:paraId="078596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574392" w14:textId="29B44E4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these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going is Christ's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Christ's going is Christ's exaltation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both reasons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departure ought to minister to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friends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look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three things for a little while.</w:t>
      </w:r>
    </w:p>
    <w:p w14:paraId="412B00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823EF" w14:textId="170E37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comes a renewed utterance of that great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runs through the whole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departure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in reality the coming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 again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somewhat restricts and destroys the true flow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and meaning of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if we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our Authorised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Version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go away and come again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inevitably 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think of a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separated by a considerable distance of time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most of us that which is suggested is the final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and return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bodily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Lord Jesus.</w:t>
      </w:r>
    </w:p>
    <w:p w14:paraId="5DF8A29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17773D" w14:textId="7C966F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great and glorious as that hope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too far away to be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a sufficient comfort to the mourning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too remote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taken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sufficient ground of joy and of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you strike out the intrusive word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read the sentence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being what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description of one continuous process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parts are so closely connected as to be all but contemporaneous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get the true idea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go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come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gap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thing runs on without a break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There is no moment of absolute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absence; there are not two 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from us and the other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 towards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all 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coming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series of events which began on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ended on Olivet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 of sense were successive stages in the departure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looked at with a deeper understanding of their true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successive stages in His approach towards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not steps in the cessation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were simply steps in the transition from a lower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higher kind of that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changed the limitations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externalities of a mere bodily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local nearness for the realities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 eye of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going away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coming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 eye enlightened to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as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dropping away of the visible corporeal was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inauguration of the higher and the more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need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reverse our notions of what is real and what is figurative in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feel that that form of His presence which we may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to-day is far more real than the form which ceased 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Shekinah cloud received Him out of their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penetrate to the depth of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grasp the whole fullness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 and of consolation which lie in them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 very deep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therefore departed from us for a season that we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 Him for ever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73441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466342" w14:textId="2E208B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real presence of Jesus Christ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through the long ages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every waiting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very keynote to the solemn music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chapters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press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upon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we believe it? Do we live in the faith of it? Does it fill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place in the perspective of our Christian creed as it does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revelation of the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have we refined it and watered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it comes to be little more than merely the continuous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 of the record of His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any great and sovereign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that has influenced mankind may still rule the nations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urn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Or do we take Him at 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believe that He meant what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something far other than a violent figure for the continuance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influence and of the inspiration drawn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Lo! I am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you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alway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unto the end of the world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Say not in thine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ascend up into heaven?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bring Christ down from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Incarnate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nigh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trustest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Him.</w:t>
      </w:r>
    </w:p>
    <w:p w14:paraId="5438C5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5ABDCE" w14:textId="4CBCE4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aspect of our Lord's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emphasised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in which it is regarded as affecting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is Christ's exaltation.</w:t>
      </w:r>
    </w:p>
    <w:p w14:paraId="346CFF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307815" w14:textId="26DC66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observe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first clause of our 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simply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specified the fact of 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any reference to the whither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all that was wanted was to contrast the going and the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second clause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the emphasis rests not so much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fact of departure as upon the goal to which He went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read: I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Hitherto we have been contemplating Christ's departure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in its bearing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exquisite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unveils another aspect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in order that He may change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sadness into joy; and says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ye were not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absorbed in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would have a thought to spare about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would feel that you should be glad because I am about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exalted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E4683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7B74DA" w14:textId="054DA2C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seldom does He open such a glimpse into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more tender and impressive when He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hint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continual self-sacrifice of the human life of Jesus Christ lies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bids His disciples rejoice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getting nearer its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goes back to the Father! And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we say of the nature of Him to whom it was martyrdom to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supreme instance of self-sacrificing humiliation to be found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fashion as a man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76ECADB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3EA403" w14:textId="060EAF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tells His followers here that a reason for their joy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departure is to be found in this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goes to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greater than Himself.</w:t>
      </w:r>
    </w:p>
    <w:p w14:paraId="5AE357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26F89B" w14:textId="4DC8160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Now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regard to that remarkable utterance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 of thought in the context requires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suppose that for Christ to go to the Father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to share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else should the disciples be bidden to rejoice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it? or why should He say anything at all about the greatness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Father? 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this follows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greatness to which He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alludes is such as He enters by His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other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inferiority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whatever nature it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He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alludes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falls away when He passes hence.</w:t>
      </w:r>
    </w:p>
    <w:p w14:paraId="3330724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1C3345" w14:textId="186576A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these words are often quoted triumphantly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they were dead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what I venture to call the orthodox and Scriptural doctrine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divinity of our Lord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it may be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remark that that doctrine accepts this saying as fully as it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other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and My Father are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venture to think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the only construction of Scripture phraseology which does full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justice to all the elements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wish to remind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that the creed which confesses the unity of the Godhead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divinity of Jesus Christ is not to be overthrown by pelting this verse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it; for this verse is part of that creed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as fully declares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Father is greater than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declares that the Son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with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be satisfied with it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 of simple honesty it must be recognised that the creed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Catholic Church does combine both the elements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representations.</w:t>
      </w:r>
    </w:p>
    <w:p w14:paraId="2DE4D9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E79331" w14:textId="527307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we can only speak in this matter as Scripture guides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depths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Deity are far too deep to be sounded by our plummets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bold man who ventures to say that he knows what is impossible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the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needs to have gone all round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down to the depths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up to the heights of a bottomless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summitless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infinitude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he has a right to say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let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remind you that we can dimly see that the very names Father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imply some sort of subordination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that subordination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it is in the timeless and inward relations of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be supposed to exist after the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existed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incarnation;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such mysterious difference is not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referred to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referred to is what dropped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Man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ascended up on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Luther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of his sermons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He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suffering Christ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that garb of lowliness falls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mantle that fell from the prophet as he went up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chariot of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passes behind the brightness of the Shekinah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cloud that hides Him from our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in which the Father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greater than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 far as our present purpose is 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which He left behind when He ascended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restrictions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humiliation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made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of the burden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His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rejoice in an ascended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beneath whose feet are foes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from whose human personality are all the ills that flesh is 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ye loved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would rejoice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go unto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Father; for My Father is greater than I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83A66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069053" w14:textId="58EC93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then the third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first part of our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both these grounds Christ's ascension and departure are a source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aspects of His 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affecting Him and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affecting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inseparably welded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can be no presence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 by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all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every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presence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participates in the absolute glory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to be with you and me and all our suffering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 centuries and over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involves something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belongs to mere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two sources of gladness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confluent--Christ's ascension as affecting us is inseparably woven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Christ's ascension as affecting Himself.</w:t>
      </w:r>
    </w:p>
    <w:p w14:paraId="3F09834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B8B9B" w14:textId="35E7BB8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Love will delight to dwell upon that thought of its exalted Lover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fairly apply the simplicity of human relationships and affections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elucidation of what ought to be our affection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surely if our dearest one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far away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lofty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hearts and our thoughts would ever be going thither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should live more there than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we are cribbed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cabined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love Jesus Christ with any depth of earnestness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fervour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there will be no thought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sweet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none which will more naturally flow into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whenever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for a moment at leisure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thought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Brother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Forerunner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ascended up on high; and in the midst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of the throne bears us in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uses His glory for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 will spring to where the beloved is; and if we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 in any deep and real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hearts will have risen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be sitting with Him at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measure your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reality of your love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this--is it to you 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turn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 to make present to your mind the glories in which He loves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intercedes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reigns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you? If ye love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 go unto the Father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D31ED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878FC6" w14:textId="2FE911E8" w:rsidR="000610DB" w:rsidRPr="0043672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672A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And now I can deal with the second verse of our text very briefly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For our purpose it is less important than the former one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In it we find</w:t>
      </w:r>
      <w:r w:rsidR="000610DB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our Lord setting forth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His departure and His announcement of</w:t>
      </w:r>
      <w:r w:rsidR="000610DB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His departure as the ground and food of faith.</w:t>
      </w:r>
    </w:p>
    <w:p w14:paraId="0AF538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A3904C" w14:textId="201688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knew what a crash was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exquisite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knowledge of their necessities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suppression of all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feelings and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gave Himself to prepare the disciples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forewarned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might be forearmed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when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burst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might not take them by surprise.</w:t>
      </w:r>
    </w:p>
    <w:p w14:paraId="4D4C85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E386A2" w14:textId="2D17BAF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does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a great many other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beforehand of what is sure to come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when we are caught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midst of the tempest we may not bate one jot of heart or hope.</w:t>
      </w:r>
    </w:p>
    <w:p w14:paraId="17EEFB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B0B238" w14:textId="0F32E8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Why should I complain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want or distress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Temptation or pain? He told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no less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AEF7C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B1DF1F" w14:textId="2CD654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when my sorrows come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may say about them what He says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departure--He has told us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when 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comes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believe.</w:t>
      </w:r>
    </w:p>
    <w:p w14:paraId="2B63288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C95FE5" w14:textId="55EF806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note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these final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avows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aim of His utterances and of His departure is to evoke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does He mean by faith? He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grasp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historic facts--His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understanding of these as He Himself has explained them--a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of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resurrection of victory over death and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ascension to rule and guide His Church and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send His divine Spirit into men's hearts if they will receive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essence of the faith that He would produce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all our hearts--a reliance upon Himself as thus revealed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Sacrifice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Victor by His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King and interceding Priest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His ascension--a reliance upon Himself as absolute as the facts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unfaltering as is His eternal sameness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faith that grasps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ascended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its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 in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time and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faith which by all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all His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desires to kindle 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Has He kindled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yours?</w:t>
      </w:r>
    </w:p>
    <w:p w14:paraId="4B57EA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70BC28" w14:textId="61A67F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there is a second thought--viz.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these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interpreted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ground and the nourishment of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differently they looked when seen from the further side and when seen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hither side! Anticipated and dimly anticipated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doleful and full of dismay; remembered and looked back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radiant and bright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disciples felt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shrinking hearts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fainting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their whole reliance upon Jesus Christ was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point of being shattered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everything was going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trusted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two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such a sad use of the past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we trusted that this had been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which should have redeemed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do not trust it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do we expect Him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Israel's Redeemer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after the facts were all unveiled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back the memory of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said to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tell us that it was all to be so? How blind we were not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Him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7B5132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EF123E" w14:textId="7D8F44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skies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foundations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faith; and they who see Him 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ascended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henceforth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it impossible to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Feed your faith upon these great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Christ's own explanation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faith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strong.</w:t>
      </w:r>
    </w:p>
    <w:p w14:paraId="6BB268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9B817B" w14:textId="650F152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learn here that faith is the condition of the true presence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absent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 that on our side which corresponds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coming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Whosoever trusts Him possesses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and in every soul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relies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closeness so close and a presence so real that heaven itself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the spirit of the believer and the Spirit of the Lord nearer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takes away the bodily film that sometimes seems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their lives.</w:t>
      </w:r>
    </w:p>
    <w:p w14:paraId="35DD74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324EC" w14:textId="25F33C5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and should be glad when we lift our eyes to that Throne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where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reigns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glad that He is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being there is the reason why He can be here; and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feed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faith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bring Him in very deed to dwell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would have Christ within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trust Him 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living in the heavens; and then we shall learn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apparent departures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drawing the closer to the souls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and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7E32737" w14:textId="0BCAF199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86C586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F87A1F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330DF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5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2021-12-07T10:22:00Z</dcterms:modified>
</cp:coreProperties>
</file>