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171C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A855F11" w14:textId="45615DB0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112</w:t>
      </w:r>
      <w:r w:rsidR="000D6B18" w:rsidRPr="000D6B18">
        <w:rPr>
          <w:sz w:val="32"/>
          <w:u w:val="single"/>
        </w:rPr>
        <w:t xml:space="preserve">. </w:t>
      </w:r>
      <w:r w:rsidR="001719AC">
        <w:rPr>
          <w:b/>
          <w:sz w:val="32"/>
          <w:u w:val="single"/>
        </w:rPr>
        <w:t>THE GRAVE IN A GARDEN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99CFD78" w14:textId="67BFE59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719AC" w:rsidRPr="001719AC">
        <w:rPr>
          <w:rFonts w:cstheme="minorHAnsi"/>
          <w:i/>
          <w:sz w:val="24"/>
          <w:szCs w:val="24"/>
          <w:lang w:val="en-US"/>
        </w:rPr>
        <w:t>In the garden a new tomb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6B4CCD2" w14:textId="00DBDF7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1719AC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</w:t>
      </w:r>
      <w:r w:rsidR="001719AC">
        <w:rPr>
          <w:rFonts w:cstheme="minorHAnsi"/>
          <w:i/>
          <w:sz w:val="24"/>
          <w:szCs w:val="24"/>
          <w:lang w:val="en-US"/>
        </w:rPr>
        <w:t>41 (R.V.)</w:t>
      </w:r>
    </w:p>
    <w:p w14:paraId="3DB66CB7" w14:textId="30C3B9FE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963ACC" w14:textId="51EEBD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possibly no more than a topographical note introduced merely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sake of accuracy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quite in John's manner to attach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importance to these apparent trifles and to give no express statement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is doing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several other instances in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similar details are given which appear to have had in his eyes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symbolical meaning--e.g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was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 have been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in his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men in high excitement love and seize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can scarcely doubt that the reason which induced Joseph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make his grave in a garden was the reason which induced John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mention so particularly its situation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they both discerned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garden round the sepulchre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expression of what was to 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dim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other a lively hope by the resurrection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from the dead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they who are laid to rest in the grave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come forth again in new and fairer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the garden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causeth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things that are sown in it to bud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371A2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5A73D4" w14:textId="3ABD9A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us at all events on Easter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nature rising on every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her winter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life re-orient out of dust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sepulchre in the garden may well serve for the starting-point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familiar but ever-precious lessons of the day.</w:t>
      </w:r>
    </w:p>
    <w:p w14:paraId="07449F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1A9669" w14:textId="3DA7799D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A symbol of death and decay as interwoven with all nature and every</w:t>
      </w:r>
      <w:r w:rsidR="000610DB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joy.</w:t>
      </w:r>
    </w:p>
    <w:p w14:paraId="6B661D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090080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think of Eden and the first coming of death.</w:t>
      </w:r>
    </w:p>
    <w:p w14:paraId="7F470E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651DD8" w14:textId="26334D2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grave was fittingly in the garden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nature too is subject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law of decay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flowers fade and men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Meditative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 have ever gathered lessons of mortality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invested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an alien softness by likening it to falling leaves and withered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contrast is greater than the resemblance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painless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dropping of petals is not a parallel to the rending of soul and body.</w:t>
      </w:r>
    </w:p>
    <w:p w14:paraId="24618A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36BE50" w14:textId="0D9A01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garden's careless wealth of beauty and joy continues unconcerned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whatever befalls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One generation cometh and another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earth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 ever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D3926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FCA8B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grave is in the garden because all our joys and works have sooner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later death associated with them.</w:t>
      </w:r>
    </w:p>
    <w:p w14:paraId="4AF3C6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7A1B47" w14:textId="77777777" w:rsidR="000610DB" w:rsidRPr="000610DB" w:rsidRDefault="00924AB5" w:rsidP="001719AC">
      <w:pPr>
        <w:pStyle w:val="PlainText"/>
        <w:numPr>
          <w:ilvl w:val="0"/>
          <w:numId w:val="28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Every relationship.</w:t>
      </w:r>
    </w:p>
    <w:p w14:paraId="59753208" w14:textId="77777777" w:rsidR="000610DB" w:rsidRPr="000610DB" w:rsidRDefault="00924AB5" w:rsidP="001719AC">
      <w:pPr>
        <w:pStyle w:val="PlainText"/>
        <w:numPr>
          <w:ilvl w:val="0"/>
          <w:numId w:val="28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Every occupation.</w:t>
      </w:r>
    </w:p>
    <w:p w14:paraId="000D4270" w14:textId="77777777" w:rsidR="000610DB" w:rsidRPr="000610DB" w:rsidRDefault="00924AB5" w:rsidP="001719AC">
      <w:pPr>
        <w:pStyle w:val="PlainText"/>
        <w:numPr>
          <w:ilvl w:val="0"/>
          <w:numId w:val="28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Every joy.</w:t>
      </w:r>
    </w:p>
    <w:p w14:paraId="1DC4D5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BA7AE3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grave in the garden bids us bring the wholesome contemplation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into all life.</w:t>
      </w:r>
    </w:p>
    <w:p w14:paraId="4A8855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0912C8" w14:textId="56ECE64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may be a harm and weakening to think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should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strength.</w:t>
      </w:r>
    </w:p>
    <w:p w14:paraId="428D90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22729E" w14:textId="367080B9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The dim hopes with which men have fought against death.</w:t>
      </w:r>
    </w:p>
    <w:p w14:paraId="03C44A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93F79C" w14:textId="4B0C3E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To lay the dead amid blooming nature and fair flowers has been 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natural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symbolism is most 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expressing the possibility of life and even of advance in the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apparent decay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something very pathetic in so eager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grasping after some stay for hope.</w:t>
      </w:r>
    </w:p>
    <w:p w14:paraId="53363C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ED7D6" w14:textId="4B0680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these natural symbols are insufficient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They are not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proofs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only pretty analogies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they are all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have on which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 their hopes as to a future life apart from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future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vague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region for hopes and wishes or fears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for 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region for poetic fancies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thoughts of it were very faintly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Shall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live again? Conscience seemed to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The instinct of immortality in men's souls grasped at these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proofs of what it believed without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was no clear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light.</w:t>
      </w:r>
    </w:p>
    <w:p w14:paraId="2ECCAC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FB2779" w14:textId="3CDAD612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The clear light of certain hope which Christ's resurrection</w:t>
      </w:r>
      <w:r w:rsidR="000610DB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brings.</w:t>
      </w:r>
    </w:p>
    <w:p w14:paraId="2EF415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63B2C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grave in the garden reversed Adam's bringing of death into Eden.</w:t>
      </w:r>
    </w:p>
    <w:p w14:paraId="026BED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B90EAE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resurrection as a fact bears on the belief in a future state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nothing else can.</w:t>
      </w:r>
    </w:p>
    <w:p w14:paraId="48FA7F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750141" w14:textId="0E6FA4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changes hope into 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shows by actual example that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nothing to do with the soul; that life is independent of the body;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 man after death is the same as before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risen Lord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in His relations to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in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memory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all else.</w:t>
      </w:r>
    </w:p>
    <w:p w14:paraId="023941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DDE81" w14:textId="6C7F228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changes shadowy hopes of continuous life into a solid certainty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former is vague and powerless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impossible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conceive of the future with vividness unless as a bodily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is the strength of the Christian conception of the future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corporeity is the end and goal of the redeemed man.</w:t>
      </w:r>
    </w:p>
    <w:p w14:paraId="694317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D9DB6" w14:textId="6D130C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changes terror and awe into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opens up a future in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is.</w:t>
      </w:r>
    </w:p>
    <w:p w14:paraId="4B2116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67F97D" w14:textId="77777777" w:rsidR="000610DB" w:rsidRPr="000610DB" w:rsidRDefault="00924AB5" w:rsidP="001719AC">
      <w:pPr>
        <w:pStyle w:val="PlainText"/>
        <w:numPr>
          <w:ilvl w:val="0"/>
          <w:numId w:val="29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shall be with Him.</w:t>
      </w:r>
    </w:p>
    <w:p w14:paraId="67DAFB99" w14:textId="77777777" w:rsidR="000610DB" w:rsidRPr="000610DB" w:rsidRDefault="00924AB5" w:rsidP="001719AC">
      <w:pPr>
        <w:pStyle w:val="PlainText"/>
        <w:numPr>
          <w:ilvl w:val="0"/>
          <w:numId w:val="29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shall be like Him.</w:t>
      </w:r>
    </w:p>
    <w:p w14:paraId="0F6094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F31434" w14:textId="42E10D7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we can go back to all these incomplete analogies and use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faith does not rest upon them but upon what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actually been done on this earth.</w:t>
      </w:r>
    </w:p>
    <w:p w14:paraId="426003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5AFB89" w14:textId="3B9589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is the First fruits of them that slept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will the harvest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be!</w:t>
      </w:r>
    </w:p>
    <w:p w14:paraId="099372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709F25" w14:textId="1053BB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the single little seed is poor and small by the side of the gorgeous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flower that comes from it;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 be the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giveth it a 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it hath pleased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66DA2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62942" w14:textId="100CD9A7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then to think of death for ourselves and for those who are gone?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Thankfully and hopefully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8FA24F0" w14:textId="66EDFDD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DB9822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64DFB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2021-12-07T10:31:00Z</dcterms:modified>
</cp:coreProperties>
</file>