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6DD4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1FA2C77" w14:textId="5B913693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MARK-0</w:t>
      </w:r>
      <w:r w:rsidR="006722FB">
        <w:rPr>
          <w:b/>
          <w:sz w:val="32"/>
          <w:u w:val="single"/>
        </w:rPr>
        <w:t>42</w:t>
      </w:r>
      <w:r w:rsidR="000D6B18" w:rsidRPr="000D6B18">
        <w:rPr>
          <w:sz w:val="32"/>
          <w:u w:val="single"/>
        </w:rPr>
        <w:t xml:space="preserve">. </w:t>
      </w:r>
      <w:r w:rsidR="00B02581">
        <w:rPr>
          <w:b/>
          <w:sz w:val="32"/>
          <w:u w:val="single"/>
        </w:rPr>
        <w:t>THE OMNIPOTENCE OF FAITH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588B1E4" w14:textId="3BF392F1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02581" w:rsidRPr="00B02581">
        <w:rPr>
          <w:rFonts w:cstheme="minorHAnsi"/>
          <w:i/>
          <w:sz w:val="24"/>
          <w:szCs w:val="24"/>
          <w:lang w:val="en-US"/>
        </w:rPr>
        <w:t xml:space="preserve">Jesus said unto him, </w:t>
      </w:r>
      <w:proofErr w:type="gramStart"/>
      <w:r w:rsidR="00B02581" w:rsidRPr="00B02581">
        <w:rPr>
          <w:rFonts w:cstheme="minorHAnsi"/>
          <w:i/>
          <w:sz w:val="24"/>
          <w:szCs w:val="24"/>
          <w:lang w:val="en-US"/>
        </w:rPr>
        <w:t>If</w:t>
      </w:r>
      <w:proofErr w:type="gramEnd"/>
      <w:r w:rsidR="00B02581" w:rsidRPr="00B02581">
        <w:rPr>
          <w:rFonts w:cstheme="minorHAnsi"/>
          <w:i/>
          <w:sz w:val="24"/>
          <w:szCs w:val="24"/>
          <w:lang w:val="en-US"/>
        </w:rPr>
        <w:t xml:space="preserve"> them canst believe, all things are possible to him that believeth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81D3771" w14:textId="698442B2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Mark </w:t>
      </w:r>
      <w:r w:rsidR="00B02581">
        <w:rPr>
          <w:rFonts w:cstheme="minorHAnsi"/>
          <w:i/>
          <w:sz w:val="24"/>
          <w:szCs w:val="24"/>
          <w:lang w:val="en-US"/>
        </w:rPr>
        <w:t>9</w:t>
      </w:r>
      <w:r>
        <w:rPr>
          <w:rFonts w:cstheme="minorHAnsi"/>
          <w:i/>
          <w:sz w:val="24"/>
          <w:szCs w:val="24"/>
          <w:lang w:val="en-US"/>
        </w:rPr>
        <w:t>:</w:t>
      </w:r>
      <w:r w:rsidR="00B02581">
        <w:rPr>
          <w:rFonts w:cstheme="minorHAnsi"/>
          <w:i/>
          <w:sz w:val="24"/>
          <w:szCs w:val="24"/>
          <w:lang w:val="en-US"/>
        </w:rPr>
        <w:t>23</w:t>
      </w:r>
    </w:p>
    <w:p w14:paraId="66A9BF84" w14:textId="0E28EBB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0E7156" w14:textId="658A1BE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necessity and power of faith is the prominent lesson of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narrative of the healing of a demoniac boy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especially as it is told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Evangelist Mark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lesson is enforced by the actions of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persons in the group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 the central figure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disciples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could not cast out the demon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incur Christ's plaintive rebuke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quite as much sorrow as blame: O faithless generation I 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long shall I be with you? how long shall I suffer you?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second part of the 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poor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heart-sick with hope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deferred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comes into the foreground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whole interest is shifted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more prominence is given to the process by which his doubting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 is led to 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to that by which his son is healed.</w:t>
      </w:r>
    </w:p>
    <w:p w14:paraId="4821F31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1EC284" w14:textId="33035AE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something very beautiful and tender in Christ's way of dealing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as to draw him to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begins with the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How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long is it ago since this came unto him?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so induces him to tell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the story of the long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his burdened heart might get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ease in speaking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also that the feeling of the extremity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necessity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deepened by the very dwelling on all his boy's cruel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sufferings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might help him to the exercise of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Truly He knew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in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tenderness born of perfect knowledge and perfect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dealt with sore and sorrowful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loving artifice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consolation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drew all the story from willing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one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little token of His gentle mode of healing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it is profoundly wise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well as most tender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Get a man thoroughly to know his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vividly to feel his helpless misery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have carried him a long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way towards laying hold of the refuge from it.</w:t>
      </w:r>
    </w:p>
    <w:p w14:paraId="6C2544E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19065D" w14:textId="1A3F550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How wise and how tender the question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proved by the long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circumstantial 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which the pent-up trouble of a father's heart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pours itself out at the tiny opening which Christ has made for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does not content himself with the simple 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Of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 child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garrulousness of sorrow that has found a listener that sympathises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goes on to tell all the misery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partly that he may move his hearer's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more in sheer absorption with the bitterness that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poisoned the happiness of his home all these years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graphic picture of his child's state leads him to the plaintive cry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his love makes common cause with his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unites both in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wretchedness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thou canst do anything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compassion on us and help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0A9118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15F167" w14:textId="1D4ACAB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Our Lord answers that appeal in the words of our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difficulties in the rendering and exact force of these words with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do not mean to trouble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may accept the rendering as in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 slight variation in the punctuation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take the first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clause as an incomplete sentence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put a break between it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last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meaning will stand out more clearly: If thou canst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believe--all things are possible to him that believeth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paraphrase it somewhat thus: Did you say If thou canst do anything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 the wrong if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doubt about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only if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question is another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about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about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thou canst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believe--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then the incomplete sentence might be supposed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ended with some such phrase as That is the only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thou canst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believe--all depends on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thou canst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thy son will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to explain and establish what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meant in the half-finished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adds the grand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broad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statement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which the demand for the man's faith as the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condition of his wish being answered reposes: All things are possible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him that believeth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C99F0A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DAF188" w14:textId="0E91C69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That wide statement is meant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suppose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disciples as well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things are possible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both in reference to benefits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 received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reference to power to be exercised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canst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poor suppliant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 shalt have thy desire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 canst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poor devil-ridden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 shalt be set free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 can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poor baffled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will be masters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powers of evil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EC7A3F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70C492" w14:textId="07FC8C3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Do you remember another if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which Christ was once besought?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came a leper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beseeching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kneeling down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saying unto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Thou wilt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canst make me clean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respects that man had advanced beyond the father in our 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no doubt at all about Christ's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spoke to Him as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he was somehow not quite sure about Christ's heart of pity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man in our narrative has no doubt about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compassion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may have seen something of His previous miracles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may still have been lying on our Lord's countenance some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lingering glory of the Transfiguration--as indeed the narrative seems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hint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its emphatic statement of the astonishment and reverential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salutations of the crowd when He approached--or the tenderness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Lord's listening sympathy may have made him feel sure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willingness to help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At any rate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leper's if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answered itself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own lingering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 waives aside as settled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answered for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these two ifs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reference to Christ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beyond all controversy; His power is certain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third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remains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one that refers to us--If thou canst believe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hinges on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all things are possible to him that believeth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D27FB7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3210E6" w14:textId="2369D1B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our Lord telling us that faith is omnipotent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 bold word; He puts no limitations; all things are possible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think that to get the true force of these words we should put alongside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of them the other saying of our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Lord's</w:t>
      </w:r>
      <w:r w:rsidR="000D6B18" w:rsidRPr="000D6B18">
        <w:rPr>
          <w:rFonts w:asciiTheme="minorHAnsi" w:hAnsiTheme="minorHAnsi" w:cs="Courier New"/>
          <w:sz w:val="22"/>
          <w:szCs w:val="22"/>
        </w:rPr>
        <w:t>,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God all things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the foundation of the grand prerogative in our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power of faith is the consequence of the power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possible to Him; 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things are possible 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believing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translate that into more abstract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just comes to the principle that the power of faith consists in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its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taking hold of the power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omnipotent because it knits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Omnipotence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Faith is nothing in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is that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attaches us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His power flows into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Screw a pipe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a water main and turn a handle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out flows the water through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pipe and fills the empty vessel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Faith is as impotent in itself 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hollow water pipe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only it is the way by which the connection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established between the fulness of God and the emptiness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By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it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divinity flows into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have a share even in the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Omnipotence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My strength is made perfect in weakness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itself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yet grasps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by it we are strong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it we lay hold of His strength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Great and wonderful is the grace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thus given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struggling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sinful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looking up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solemn 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He sits in His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a right to be sure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a true participation in His greatness is granted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once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hearts are fastened to Him.</w:t>
      </w:r>
    </w:p>
    <w:p w14:paraId="770962B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BF04C6" w14:textId="21E379D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there is nothing arbitrary nor mysterious in this flowing of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 into our hearts on condition of our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 condition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possessing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salvation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righteousness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by any artificial appointment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 the very nature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other way possible by which God could give men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receive through their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 only their faith.</w:t>
      </w:r>
    </w:p>
    <w:p w14:paraId="10CB19B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26E2C4" w14:textId="08B1DCE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all trust in God there are two elements: a sense of need and of evil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weakness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confidence more or less unshaken and strong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love and power and all-sufficiency; and unless both of these two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nature of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impossible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impossible to all eternity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purity and strength and peace and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the blessings which Christ delights to give to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 be ours.</w:t>
      </w:r>
    </w:p>
    <w:p w14:paraId="649E0AA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D653F2" w14:textId="154D206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Unbelief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distrust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separates us from Him and closes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 fast against His grace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must cut us off from that which it does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feel that it needs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cares to receive; and must interpose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non-conducting medium between us and the electric influences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Christ was 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man's want of faith dammed back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miracle-working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paralysed His healing energy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strange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paradox sounds at first hearing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brings together Omnipotence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impotence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makes men able to counter-work the loving power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could there do no mighty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Evangelist intends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paradox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he uses two kindred words to express the inability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mighty work; and we might paraphrase the saying so as to bring out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seeming contradiction: He there had no power to do any work of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same awful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some sense mysterious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power of limiting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restraining the influx of His love belongs to unbelief 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take the shape of active rejection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only of careless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passive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non-reception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faith makes us partakers of divine power by the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necessity of the 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power can attach itself to nothing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else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thou canst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things are possible to him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believeth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CD33B0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5F1D1E" w14:textId="781B187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Still 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observe that there is involved here the principle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our faith determines the amount of our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true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reference to our own individual religious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true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reference to special capacities for Christ's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me say a word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two about each of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run into each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truest power of service is found in the depth and purity of our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personal religion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 the other hand our individual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 will never be deep or pure unless we are working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our present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these two inseparable aspects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one Christian life may be separated in thought.</w:t>
      </w:r>
    </w:p>
    <w:p w14:paraId="0A4038D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ECD634" w14:textId="21C9685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As to the former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measure of my trust in Christ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measure of all the rest of my Christian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shall have just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much purity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 as much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 as much wisdom or gentleness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 or courage or 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my faith is capable of taking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speak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holding in solution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point of saturation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a man's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quantity of God's grace which he is capable of absorbing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accurately measured by his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much do I trust God? That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settle how much I can take in of God.</w:t>
      </w:r>
    </w:p>
    <w:p w14:paraId="570D888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E240B6" w14:textId="3FA8D36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 much as we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much can we contain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much as we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much shall we receive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in the very act of receiving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portion of our Father's goods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falleth</w:t>
      </w:r>
      <w:proofErr w:type="spell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feel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a boundless additional portion ready to come as soon as we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ready for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thereby we shall be driven to larger desires and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wider opening of the lap of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will ever be answered by good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pressed together and running over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measured into our bosoms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there will be no waste by the bestowment of what we cannot take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According to your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it unto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the accurate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thermometer which measures the temperature of our spiritual state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like the steam-gauge outside the boiler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tells to a fraction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pressure of steam within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the power which can at the moment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exerted.</w:t>
      </w:r>
    </w:p>
    <w:p w14:paraId="5B1F7D4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D96C52" w14:textId="2C80D8B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May I make a very simple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close personal application of this thought?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have as much religious life as we desire; that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as much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our faith can take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the reason why such hosts of so-called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Christians have such poor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feeble 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We dare not say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of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have a name to 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only one Eye who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tell when the heart has ceased to beat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we may say that there are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mournful number of people who call themselves Christians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look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like dead that no eye but Christ's can tell the difference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syncope that will be death soon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unless some mighty power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rouse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them.</w:t>
      </w:r>
    </w:p>
    <w:p w14:paraId="6B3E63D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1D5657" w14:textId="1AEB3B1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many more of us there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so bad as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still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feeble and languid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 Christian history is a history of weakness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while God's power is open 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starving in the midst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abundance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broken only by moments of firmer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of larger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happier possession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make the poverty-stricken ordinary days appear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ten times more poverty-stricken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channel lies dry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waste chaos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white stones and driftwood for long months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only for an hour or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after the clouds have burst on the mountains does the stream fill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bank to bank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not many of us remember moments of a far deeper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and more earnest trust in Christ than marks our ordinary days? If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such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moments were continuous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should not we be the happy possessors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beauties of character and spiritual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such as would put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present selves utterly to shame? And why are they not continuous? Why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our possessions in God so small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power so weak? Dear friends!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 are not straitened in yourselves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only reason for defective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spiritual progress and character is defective faith.</w:t>
      </w:r>
    </w:p>
    <w:p w14:paraId="650DFDF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860533" w14:textId="7B86E41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 look at this same principle as it affects our faculties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true that all things are possible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him that believeth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saying had an application to the disciples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stood by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half-ashamed and half-surprised at their failure to cast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the demon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well as to the father in his agony of desire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them it meant that the measure of Christian service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mainly determined by the measure of their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would scarcely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 exaggeration to say that in Christ's service a man can do pretty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nearly what he believes he can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his confidence is built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on Christ.</w:t>
      </w:r>
    </w:p>
    <w:p w14:paraId="6F61D85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8234D7" w14:textId="354654B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 those nine Apostles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waiting there for their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thought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could cast out the devil from the boy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you not think that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could have done it? I do not mean to say that rash presumption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undertaking in levity and self-confidence unsuitable kinds of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be honoured with success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 do mean to say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line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our manifest duty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extent to which we can do Christ's work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much the extent to which we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dependence 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do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once make up our minds that we shall do a certain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 by Christ's help and for His sake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ninety cases out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hundred the expectation will fulfil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shall do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could not we cast him out?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need not have asked the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could not you cast him out? Why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you did not think you could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your timid attempt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making an experiment which you were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sure would succeed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provoked the failure which you feared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Church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never believed enough in its Christ-given power to cast out demons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never been confident enough that the victory was in our hands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we knew how to use our powers.</w:t>
      </w:r>
    </w:p>
    <w:p w14:paraId="1ADE440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320899" w14:textId="02B971F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same thing is true of each one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Audacity and presumption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humility and moderation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only we feel that our sufficiency is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can do all things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language of simple soberness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 on to say through Christ which strengthened me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2EDB3A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80D662" w14:textId="79E5054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one more point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drawn from these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viz.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faith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take hold on the divine promises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Such language as this of my text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other kindred sayings of our Lord's has often been extended beyond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real force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pressed into the service of a mistaken enthusiasm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want of observing that very plain principle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principle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text has reference to outward things as well as to the spiritual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there are great exaggerations and misconceptions as to the province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faith in reference to these temporal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consequently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misconceptions and exaggerations on the part of many very good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people as to the province of prayer in regard to them.</w:t>
      </w:r>
    </w:p>
    <w:p w14:paraId="0F12347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AD50A9" w14:textId="56D3382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seems to me that we shall be saved from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distinctly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recognise a very obvious principle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namely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faith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never go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further than God's clear promises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whatever goes beyond God's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 is not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something else assuming its appearance.</w:t>
      </w:r>
    </w:p>
    <w:p w14:paraId="51F5F60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FC1BD1" w14:textId="552361C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For 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suppose a father nowadays were to say: My child is sore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vexed with sickness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long for his recovery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believe that Christ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heal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believe that He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pray in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know that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be answered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Such a prayer goes beyond the record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Has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told you that it is His will that your child shall be healed? If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can you pray in faith that it is? You may pray in confidence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will be healed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such confident persuasion is not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Faith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lays hold of Christ's distinct declaration of His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confidence is only grasping a shadow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your own wishes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father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story was entitled to 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Christ told him that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trust was the condition of his son's being healed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in response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great word of our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man's faith leaped up and grasped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Lord's promise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with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before Christ spoke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wistful longing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imploring cry for help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warrant to pass into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did not so pass.</w:t>
      </w:r>
    </w:p>
    <w:p w14:paraId="096C7B8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C3F226" w14:textId="16E40CA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Christ's word must go before our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must supply the object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where Christ has not spoken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no room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exercise of any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 the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the Lord; let Him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seemeth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to Him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the true prayer of faith in regard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all matters of outward providence where we have no distinct word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God's which gives unmistakable indication of His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if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has no place in the spiritual region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we know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is the will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our sanctification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full force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temporal region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we do not know before the event what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of the Lord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Thou wilt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canst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there our best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prayer.</w:t>
      </w:r>
    </w:p>
    <w:p w14:paraId="3D3D911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2D71C0" w14:textId="5C27548E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Wherever a distinct and unmistakable promise of God's goes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safe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faith to follow; but to outrun His word is not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meets the deserved rebuke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Should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be according to thy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mind?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are unmistakable promises about outward things on which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safely build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confine our expectations within the limits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turn them into the prayer of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shooting back whence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came His winged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the confidence that we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we ask anything according to His will He heareth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coming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submitting all our wishes in regard to this world to His 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loving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widening our confidence to the breadth of His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loving purpose in regard to our own inward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well as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regard to our practical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answer will ever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Great is thy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faith; be it unto thee even as thou wilt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2B4F942D" w14:textId="7DF317A8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6719357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408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079E0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</TotalTime>
  <Pages>5</Pages>
  <Words>2791</Words>
  <Characters>15913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2021-12-05T08:48:00Z</dcterms:modified>
</cp:coreProperties>
</file>