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98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90073A" w14:textId="0FB46A0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130</w:t>
      </w:r>
      <w:r w:rsidR="000D6B18" w:rsidRPr="000D6B18">
        <w:rPr>
          <w:sz w:val="32"/>
          <w:u w:val="single"/>
        </w:rPr>
        <w:t xml:space="preserve">. </w:t>
      </w:r>
      <w:r w:rsidR="009B5160">
        <w:rPr>
          <w:b/>
          <w:sz w:val="32"/>
          <w:u w:val="single"/>
        </w:rPr>
        <w:t>JESUS CHARGED WITH BLASPHEMY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720DF7" w14:textId="0A412F0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B5160" w:rsidRPr="009B5160">
        <w:rPr>
          <w:rFonts w:cstheme="minorHAnsi"/>
          <w:i/>
          <w:sz w:val="24"/>
          <w:szCs w:val="24"/>
          <w:lang w:val="en-US"/>
        </w:rPr>
        <w:t>Then the high priest rent his clothes, saying, He hath spoken blasphemy; what further need have we of witnesses</w:t>
      </w:r>
      <w:r w:rsidR="009B5160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8EAB06" w14:textId="6AA5A07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B5160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9B5160">
        <w:rPr>
          <w:rFonts w:cstheme="minorHAnsi"/>
          <w:i/>
          <w:sz w:val="24"/>
          <w:szCs w:val="24"/>
          <w:lang w:val="en-US"/>
        </w:rPr>
        <w:t>65</w:t>
      </w:r>
    </w:p>
    <w:p w14:paraId="7E957D9D" w14:textId="2299E02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FF4F4" w14:textId="27D72C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was tried and condemned by two tribunals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ecclesiastical and the Roman civil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each case the charge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corresponded to the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Sanhedrin took no cognisance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concern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rebellion against Caesar; though for the time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pretended loyalty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 had still less concern about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investigation in each case turned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the Son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the King of Israel?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to both was a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with very significant differences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 received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explanation; the Sanhedrin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Roman governor was taught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title of King belonged to another region altogether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Caesar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in the slightest degree infringe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that he represented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Son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capable of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that could make it any less offensive; and the only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done was to accept it or to condemn Him.</w:t>
      </w:r>
    </w:p>
    <w:p w14:paraId="4560CA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4E9FD" w14:textId="104A0B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saying of the high priest differs from other words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antagonists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have been considering in recent pages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no distortion of our Lord's characteristics or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correctly understands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fatally rejects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claims; and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hesitate to take the further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ground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branding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a blasphemer.</w:t>
      </w:r>
    </w:p>
    <w:p w14:paraId="4E783A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17556" w14:textId="36DBCB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turn the high priest's question in another direction: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 need have we of witnesses?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horror-stricken judges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rending their garments in simulated grief and 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silent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His life was the forfeit of 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no word of softening or explanation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teach us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witnesses to some of the central facts of the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turn to these for a few moments.</w:t>
      </w:r>
    </w:p>
    <w:p w14:paraId="667A00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F49C6" w14:textId="7B1EA303" w:rsidR="000610DB" w:rsidRPr="009B516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B516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they witness to Christ's claims.</w:t>
      </w:r>
    </w:p>
    <w:p w14:paraId="7630E1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DE933" w14:textId="6D902C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question that was proposed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living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suggested by the facts of His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anything that had come out in the course of this investigation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summing up of the impression made on the ecclesiastical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authorities of Judaism by His whole attitude and demeanour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look back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see that there were instances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same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charge was flung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would heal the paralytic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dealt with bodily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attended to spiritual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be forgiven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up 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 group of keen-eyed hunters after heresy sitting eagerly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snatched at the words in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forgiveth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sins? No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forgiveth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 only!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blasphemies!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they were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claim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prerogative; and either the claim must be admitted or the charge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blasphemy urged.</w:t>
      </w:r>
    </w:p>
    <w:p w14:paraId="7E214D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8332E" w14:textId="0BABC1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infringed Rabbinical Sabbath law by a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 has broken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vindication was worse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His offence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Father worketh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they sought the more to kill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called God His own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declared that the safety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in His hands was identical with their safety in His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vindicated the audacious parallelism by the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and My Father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charge of blasphemy rang out;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was inevitable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claim was true.</w:t>
      </w:r>
    </w:p>
    <w:p w14:paraId="4ED3CB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02388" w14:textId="684F6B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outstanding instances are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summits that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the general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general level is that of One who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altogether unique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one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professing to lead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paths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so constantly put the stress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upon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obedience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ever pushed forward His own personality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foreground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the whole nobleness and blessedness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security and devoutness of a life to hinge upon that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relation to Him.</w:t>
      </w:r>
    </w:p>
    <w:p w14:paraId="4CFC94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FFE9B" w14:textId="61014E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People talk about the sweet and gentle wisdom that flowed from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on; about the lofty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beauty of pity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other commonplaces so familiar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gladly admit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venture to go a step further than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 that the outstanding differentia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characteristic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marks off Christ's teaching as something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peculiar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per 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its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its philanthropy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its sweet reasonableness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its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assertions of the importance of Himself.</w:t>
      </w:r>
    </w:p>
    <w:p w14:paraId="507EC4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77738" w14:textId="5D8891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I am asked to state the ground upon which such an assertion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vindicated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point you to such facts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up a position of equality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superiority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legislation which He and the people to whom He was speaking regarded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divinely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heard that it hath been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of old time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and so; but I say unto you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that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declared that to build upon His words was to build upon a rock;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Man declared that He--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--was the legitimate object of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utter submission and obedience; that He claimed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affiance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reverence which cannot be distinguished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did not therein conceive that He was intercepting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belonged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professed to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satisfy the desires of every human heart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 let him come to Me 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claimed to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 the sanctity of repose in the blessedness of obedience over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weary and the heavy laden; and assured them that He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all troubles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them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declared that He who stood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homes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about its acres with those blessed feet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advantage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be Judge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said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name was Son of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this Man declared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hath seen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seen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D9A7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5834D" w14:textId="5514F2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people say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your Gospel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they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of men in good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telling what they suppose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mistook the Teacher; and if we could strip away the accretion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mistaken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to the historical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claims like these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3960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AE049" w14:textId="5499A4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not the time to enter into the large questions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contention involves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point you to the incident which makes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need we any further witnesses?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Nobody denies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was crucified as the result of a combination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Sanhedrin and 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set the Jewish rulers against Him with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virulent and murderous determination? Is there anything in the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 watered down as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want to knock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all the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to water it down--is there anything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that will account for the inveterate acrimony and hostility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pursued Him to the death? The fact remains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or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and Apostles misconceived His teaching when they gave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prominence to His personality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lofty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enemies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same delusion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a delusion; and the reason why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orthodox religionism of Judaism rejoiced when He was nailed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was summed up in the taunt which they flung at Him as He hung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C5AF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B3D04" w14:textId="43CB4F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put into the witness-box Annas and Caiaphas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satellites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need we any further witnesses?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because He declared that He was the Son of God.</w:t>
      </w:r>
    </w:p>
    <w:p w14:paraId="000E6C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09CE3" w14:textId="0CA2B5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beseech you ask yourselves whether we are not being put off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maimed version of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is struck out of it this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sage and 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likewise One with the Creator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839A8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FB9E3" w14:textId="0D775424" w:rsidR="000610DB" w:rsidRPr="009B516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B516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note how we have here the witness that Jesus Christ</w:t>
      </w:r>
      <w:r w:rsidR="000610DB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assented always to the loftiest meaning that men attached to His</w:t>
      </w:r>
      <w:r w:rsidR="000610DB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claims.</w:t>
      </w:r>
    </w:p>
    <w:p w14:paraId="2E3B04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AF20A" w14:textId="1E3E1D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pointed out the remarkable difference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explanations which He condescended to give to the Roman governor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perfectly innocent meaning of His claim to be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silence before the Sanhedrin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silence is only explicable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rightly understood the meaning of the claim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contemptuously and perversely rejected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knew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was the forfeit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locked His lips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not a word.</w:t>
      </w:r>
    </w:p>
    <w:p w14:paraId="2A7E19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4226E" w14:textId="3DED75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like manner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occasion to which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Pharisees stumbled at His claims to forgive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soften down that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meant then only what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would desire to make Him mean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be forgiven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was simply acting as a minister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assuring a poor sinner that God had pardoned him--why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common honesty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discharge of His plain obligations of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He not say so--not for His own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the sake of preventing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tremendous misunderstanding of His meaning? But He let them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with the conviction that He intended to claim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vindicated the assertion by doing what only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could do: That ye may know that the Son of Man hath power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 to forgive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saith unto the sick of the palsy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need for Him to have wrought a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establish His right to tell a poor soul that God forgave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that the miracle was supposed to be the demonstration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vindication of His right to declare forgiveness shows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exercising that prerogative which belongs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rightly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only.</w:t>
      </w:r>
    </w:p>
    <w:p w14:paraId="073724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9A3A9" w14:textId="49FB28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precisely the same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commonest obligations of honesty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plain duty of a misunderstood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nothing of the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self-preservation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to have opened His lips in the presence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Jewish authorities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understood wrongly and set too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estimate of the meaning of 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silence establishes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that they understood these aright.</w:t>
      </w:r>
    </w:p>
    <w:p w14:paraId="271C20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87219" w14:textId="2E7837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note this peculiarity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puts aside as too lofty for truth men's highest interpretations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as too lowly for their mutual relation the lowest reverence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bowed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house of Cornelius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up! for I myself also am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 and Barnabas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priests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out the oxen and garlands to the gates of Lystra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are men of like passions with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meek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lets men fall at His feet; and women wash them with their tears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wipe them with the hairs of their head; and souls stretch out maimed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 Him as their only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His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answer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art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flesh and blood hath not revealed it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another exclaimed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Lord and my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Pattern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meekness accepted and endorsed the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pronounced a benediction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all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having seen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hereafter attain a like faith.</w:t>
      </w:r>
    </w:p>
    <w:p w14:paraId="5D1218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DEB8C" w14:textId="033A05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want to know whether that 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runs through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inseparable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be vindicated on any ground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the ground that He was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a greedy appetite for excessive adoration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victim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diseased vanity and ever-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present self-regard--the most damning charge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can bring against a religious teacher--or He accepted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love and the reverence and the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knit souls to the Incarnate God their Saviour.</w:t>
      </w:r>
    </w:p>
    <w:p w14:paraId="0F526F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211C2" w14:textId="7D2F1520" w:rsidR="000610DB" w:rsidRPr="009B516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B516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proofErr w:type="gramStart"/>
      <w:r w:rsidRPr="009B5160">
        <w:rPr>
          <w:rFonts w:asciiTheme="minorHAnsi" w:hAnsiTheme="minorHAnsi" w:cs="Courier New"/>
          <w:b/>
          <w:bCs/>
          <w:sz w:val="22"/>
          <w:szCs w:val="22"/>
        </w:rPr>
        <w:t>lastly</w:t>
      </w:r>
      <w:proofErr w:type="gramEnd"/>
      <w:r w:rsidRPr="009B5160">
        <w:rPr>
          <w:rFonts w:asciiTheme="minorHAnsi" w:hAnsiTheme="minorHAnsi" w:cs="Courier New"/>
          <w:b/>
          <w:bCs/>
          <w:sz w:val="22"/>
          <w:szCs w:val="22"/>
        </w:rPr>
        <w:t xml:space="preserve"> we have here witness to the only alternative to the</w:t>
      </w:r>
      <w:r w:rsidR="000610DB" w:rsidRPr="009B516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B5160">
        <w:rPr>
          <w:rFonts w:asciiTheme="minorHAnsi" w:hAnsiTheme="minorHAnsi" w:cs="Courier New"/>
          <w:b/>
          <w:bCs/>
          <w:sz w:val="22"/>
          <w:szCs w:val="22"/>
        </w:rPr>
        <w:t>acceptance of His claims.</w:t>
      </w:r>
    </w:p>
    <w:p w14:paraId="6DAC80A0" w14:textId="6897E4D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00649" w14:textId="168744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hath spoken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He had derogated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had presumed to participate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deference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rough alternative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legitimate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Jesus Christ did make such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 the Jewish hierarchy and His death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shown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even from the testimony of the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confirmation of the fact that He did--if Jesus Christ did make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not valid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two things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about His sanity? or He did not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about His honesty? In either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to be a Teacher of religion? What about His claims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of humanity? That part of His teaching and character is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manifestation of His glory or it is like one of those fatal black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seams that run through and penetrate into the substance of a fair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marble statue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marring all the rest of its pale and celestial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is said and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three things about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Either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blasphemeth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not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is beside Himself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 these things and believed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</w:p>
    <w:p w14:paraId="2A6D2D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DEAF2" w14:textId="14718455" w:rsidR="000610DB" w:rsidRPr="000610DB" w:rsidRDefault="00924AB5" w:rsidP="009B516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art the King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Christ;</w:t>
      </w:r>
    </w:p>
    <w:p w14:paraId="4CBB2A3E" w14:textId="11AF472F" w:rsidR="000610DB" w:rsidRPr="000610DB" w:rsidRDefault="00924AB5" w:rsidP="009B516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art the everlasting Son of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8D80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06EAE" w14:textId="6EE93D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know that there are many men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than their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it impossible to accept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plain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plain claims of Jesus Christ to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cleave to Him with a love and a reverence and an obedience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orthodox men might well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far be it from me to say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which might seem even to quench the faintest beam of light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shining from His perfect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any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speak to any such at this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 them to follow the light which draws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reverence for that fair character should not lead them to accept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implicitly the claims that came from His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humbly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if we know anything at all about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declaring Himself to be the Everlasting Son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died because He did so declare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ponder the question whether reverence for Him and admiration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can be logically and reasonably 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repudiation of that which is the most distinctive part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to men.</w:t>
      </w:r>
    </w:p>
    <w:p w14:paraId="4A998B7C" w14:textId="1474B7C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2E119" w14:textId="4FD02226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 true that God has come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infinitely beautiful life is really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what a beam of sunshine falls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darkness of this world! Then God is love; then that love 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all; did not shrink from dying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lives for ever to bless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these claims are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should our attitude be but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shaping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after the pattern of His life?</w:t>
      </w:r>
    </w:p>
    <w:p w14:paraId="0A5982F2" w14:textId="4D99FEE7" w:rsidR="00E20C9F" w:rsidRPr="00E20C9F" w:rsidRDefault="000610DB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These rejectors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when 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="00924AB5"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blasphemies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were sealing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their own doom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the ruined Temple and nineteen centuries of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wandering misery show what comes to men who hear Christ declaring that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He is the Son of the living God and the Judge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who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find nothing in the words but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if we will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answer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say ye that I am?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as the apostle answered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like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receive a benediction from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be set on that faith as on a rock against which the gates of hell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shall not prevail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3464BD3" w14:textId="27012B6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727EC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03EBC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2021-12-03T10:03:00Z</dcterms:modified>
</cp:coreProperties>
</file>